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CF62" w14:textId="77777777" w:rsidR="00032533" w:rsidRDefault="0067534F">
      <w:r>
        <w:rPr>
          <w:noProof/>
        </w:rPr>
        <w:drawing>
          <wp:inline distT="0" distB="0" distL="0" distR="0" wp14:anchorId="5F2B80E2" wp14:editId="22FC3911">
            <wp:extent cx="5731510" cy="1548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548765"/>
                    </a:xfrm>
                    <a:prstGeom prst="rect">
                      <a:avLst/>
                    </a:prstGeom>
                  </pic:spPr>
                </pic:pic>
              </a:graphicData>
            </a:graphic>
          </wp:inline>
        </w:drawing>
      </w:r>
    </w:p>
    <w:p w14:paraId="74A7A596" w14:textId="77777777" w:rsidR="0067534F" w:rsidRDefault="0067534F"/>
    <w:p w14:paraId="5E88542A" w14:textId="77777777" w:rsidR="0067534F" w:rsidRPr="0067534F" w:rsidRDefault="0067534F" w:rsidP="0067534F">
      <w:pPr>
        <w:jc w:val="center"/>
        <w:rPr>
          <w:sz w:val="144"/>
          <w:szCs w:val="144"/>
        </w:rPr>
      </w:pPr>
      <w:r w:rsidRPr="0067534F">
        <w:rPr>
          <w:sz w:val="144"/>
          <w:szCs w:val="144"/>
        </w:rPr>
        <w:t>Behaviour Policy</w:t>
      </w:r>
    </w:p>
    <w:p w14:paraId="2F11C605" w14:textId="77777777" w:rsidR="0067534F" w:rsidRDefault="0067534F" w:rsidP="0067534F">
      <w:pPr>
        <w:jc w:val="center"/>
        <w:rPr>
          <w:sz w:val="48"/>
          <w:szCs w:val="48"/>
        </w:rPr>
      </w:pPr>
    </w:p>
    <w:p w14:paraId="57E683D5" w14:textId="77777777" w:rsidR="0067534F" w:rsidRDefault="0067534F" w:rsidP="0067534F">
      <w:pPr>
        <w:jc w:val="center"/>
        <w:rPr>
          <w:sz w:val="48"/>
          <w:szCs w:val="48"/>
        </w:rPr>
      </w:pPr>
    </w:p>
    <w:p w14:paraId="415C704D" w14:textId="77777777" w:rsidR="0067534F" w:rsidRDefault="0067534F" w:rsidP="0067534F">
      <w:pPr>
        <w:jc w:val="center"/>
        <w:rPr>
          <w:sz w:val="48"/>
          <w:szCs w:val="48"/>
        </w:rPr>
      </w:pPr>
    </w:p>
    <w:p w14:paraId="124CFF5C" w14:textId="77777777" w:rsidR="0067534F" w:rsidRDefault="0067534F" w:rsidP="0067534F">
      <w:pPr>
        <w:jc w:val="center"/>
        <w:rPr>
          <w:sz w:val="48"/>
          <w:szCs w:val="48"/>
        </w:rPr>
      </w:pPr>
    </w:p>
    <w:p w14:paraId="2EED278B" w14:textId="77777777" w:rsidR="0067534F" w:rsidRDefault="0067534F" w:rsidP="0067534F">
      <w:pPr>
        <w:rPr>
          <w:sz w:val="48"/>
          <w:szCs w:val="48"/>
        </w:rPr>
      </w:pPr>
    </w:p>
    <w:tbl>
      <w:tblPr>
        <w:tblStyle w:val="TableGrid"/>
        <w:tblpPr w:leftFromText="180" w:rightFromText="180" w:vertAnchor="text" w:tblpY="-3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2334"/>
        <w:gridCol w:w="841"/>
        <w:gridCol w:w="3121"/>
      </w:tblGrid>
      <w:tr w:rsidR="0067534F" w:rsidRPr="0067534F" w14:paraId="7937974E" w14:textId="77777777" w:rsidTr="004F0AEC">
        <w:trPr>
          <w:trHeight w:val="389"/>
        </w:trPr>
        <w:tc>
          <w:tcPr>
            <w:tcW w:w="9242" w:type="dxa"/>
            <w:gridSpan w:val="4"/>
            <w:vAlign w:val="center"/>
            <w:hideMark/>
          </w:tcPr>
          <w:p w14:paraId="5B12BF09" w14:textId="77777777" w:rsidR="0067534F" w:rsidRPr="0067534F" w:rsidRDefault="0067534F" w:rsidP="0067534F">
            <w:pPr>
              <w:jc w:val="both"/>
              <w:rPr>
                <w:rFonts w:asciiTheme="majorHAnsi" w:hAnsiTheme="majorHAnsi" w:cstheme="majorHAnsi"/>
                <w:color w:val="44546A" w:themeColor="text2"/>
              </w:rPr>
            </w:pPr>
            <w:r w:rsidRPr="0067534F">
              <w:rPr>
                <w:rFonts w:asciiTheme="majorHAnsi" w:hAnsiTheme="majorHAnsi" w:cstheme="majorHAnsi"/>
                <w:color w:val="44546A" w:themeColor="text2"/>
              </w:rPr>
              <w:t>Signed by:</w:t>
            </w:r>
          </w:p>
        </w:tc>
      </w:tr>
      <w:tr w:rsidR="0067534F" w:rsidRPr="0067534F" w14:paraId="18190B94" w14:textId="77777777" w:rsidTr="004F0AEC">
        <w:trPr>
          <w:trHeight w:val="624"/>
        </w:trPr>
        <w:tc>
          <w:tcPr>
            <w:tcW w:w="2813" w:type="dxa"/>
            <w:tcBorders>
              <w:top w:val="nil"/>
              <w:left w:val="nil"/>
              <w:bottom w:val="single" w:sz="2" w:space="0" w:color="auto"/>
              <w:right w:val="nil"/>
            </w:tcBorders>
          </w:tcPr>
          <w:p w14:paraId="64B47FC6" w14:textId="77777777" w:rsidR="0067534F" w:rsidRPr="0067534F" w:rsidRDefault="0067534F" w:rsidP="0067534F">
            <w:pPr>
              <w:jc w:val="both"/>
              <w:rPr>
                <w:rFonts w:asciiTheme="majorHAnsi" w:hAnsiTheme="majorHAnsi" w:cstheme="majorHAnsi"/>
                <w:color w:val="44546A" w:themeColor="text2"/>
              </w:rPr>
            </w:pPr>
          </w:p>
        </w:tc>
        <w:tc>
          <w:tcPr>
            <w:tcW w:w="2365" w:type="dxa"/>
            <w:vAlign w:val="bottom"/>
            <w:hideMark/>
          </w:tcPr>
          <w:p w14:paraId="7B96B341" w14:textId="77777777" w:rsidR="0067534F" w:rsidRPr="0067534F" w:rsidRDefault="0067534F" w:rsidP="0067534F">
            <w:pPr>
              <w:spacing w:after="60"/>
              <w:jc w:val="both"/>
              <w:rPr>
                <w:rFonts w:asciiTheme="majorHAnsi" w:hAnsiTheme="majorHAnsi" w:cstheme="majorHAnsi"/>
                <w:color w:val="44546A" w:themeColor="text2"/>
              </w:rPr>
            </w:pPr>
            <w:r w:rsidRPr="0067534F">
              <w:rPr>
                <w:rFonts w:asciiTheme="majorHAnsi" w:hAnsiTheme="majorHAnsi" w:cstheme="majorHAnsi"/>
                <w:color w:val="44546A" w:themeColor="text2"/>
              </w:rPr>
              <w:t>Headteacher</w:t>
            </w:r>
          </w:p>
        </w:tc>
        <w:tc>
          <w:tcPr>
            <w:tcW w:w="846" w:type="dxa"/>
            <w:vAlign w:val="bottom"/>
            <w:hideMark/>
          </w:tcPr>
          <w:p w14:paraId="5F67CD22" w14:textId="77777777" w:rsidR="0067534F" w:rsidRPr="0067534F" w:rsidRDefault="0067534F" w:rsidP="0067534F">
            <w:pPr>
              <w:jc w:val="both"/>
              <w:rPr>
                <w:rFonts w:asciiTheme="majorHAnsi" w:hAnsiTheme="majorHAnsi" w:cstheme="majorHAnsi"/>
                <w:color w:val="44546A" w:themeColor="text2"/>
              </w:rPr>
            </w:pPr>
            <w:r w:rsidRPr="0067534F">
              <w:rPr>
                <w:rFonts w:asciiTheme="majorHAnsi" w:hAnsiTheme="majorHAnsi" w:cstheme="majorHAnsi"/>
                <w:color w:val="44546A" w:themeColor="text2"/>
              </w:rPr>
              <w:t>Date:</w:t>
            </w:r>
          </w:p>
        </w:tc>
        <w:tc>
          <w:tcPr>
            <w:tcW w:w="3218" w:type="dxa"/>
            <w:tcBorders>
              <w:top w:val="nil"/>
              <w:left w:val="nil"/>
              <w:bottom w:val="single" w:sz="2" w:space="0" w:color="auto"/>
              <w:right w:val="nil"/>
            </w:tcBorders>
          </w:tcPr>
          <w:p w14:paraId="2C356965" w14:textId="77777777" w:rsidR="0067534F" w:rsidRPr="0067534F" w:rsidRDefault="0067534F" w:rsidP="0067534F">
            <w:pPr>
              <w:jc w:val="both"/>
              <w:rPr>
                <w:rFonts w:asciiTheme="majorHAnsi" w:hAnsiTheme="majorHAnsi" w:cstheme="majorHAnsi"/>
                <w:color w:val="44546A" w:themeColor="text2"/>
              </w:rPr>
            </w:pPr>
          </w:p>
        </w:tc>
      </w:tr>
      <w:tr w:rsidR="0067534F" w:rsidRPr="0067534F" w14:paraId="16A54C54" w14:textId="77777777" w:rsidTr="004F0AEC">
        <w:trPr>
          <w:trHeight w:val="624"/>
        </w:trPr>
        <w:tc>
          <w:tcPr>
            <w:tcW w:w="2813" w:type="dxa"/>
            <w:tcBorders>
              <w:top w:val="single" w:sz="2" w:space="0" w:color="auto"/>
              <w:left w:val="nil"/>
              <w:bottom w:val="single" w:sz="4" w:space="0" w:color="auto"/>
              <w:right w:val="nil"/>
            </w:tcBorders>
          </w:tcPr>
          <w:p w14:paraId="13DDF5F9" w14:textId="77777777" w:rsidR="0067534F" w:rsidRPr="0067534F" w:rsidRDefault="0067534F" w:rsidP="0067534F">
            <w:pPr>
              <w:jc w:val="both"/>
              <w:rPr>
                <w:rFonts w:asciiTheme="majorHAnsi" w:hAnsiTheme="majorHAnsi" w:cstheme="majorHAnsi"/>
                <w:color w:val="44546A" w:themeColor="text2"/>
              </w:rPr>
            </w:pPr>
          </w:p>
        </w:tc>
        <w:tc>
          <w:tcPr>
            <w:tcW w:w="2365" w:type="dxa"/>
            <w:vAlign w:val="bottom"/>
            <w:hideMark/>
          </w:tcPr>
          <w:p w14:paraId="453216B1" w14:textId="77777777" w:rsidR="0067534F" w:rsidRPr="0067534F" w:rsidRDefault="0067534F" w:rsidP="0067534F">
            <w:pPr>
              <w:spacing w:after="60"/>
              <w:jc w:val="both"/>
              <w:rPr>
                <w:rFonts w:asciiTheme="majorHAnsi" w:hAnsiTheme="majorHAnsi" w:cstheme="majorHAnsi"/>
                <w:color w:val="44546A" w:themeColor="text2"/>
                <w:highlight w:val="lightGray"/>
              </w:rPr>
            </w:pPr>
            <w:r w:rsidRPr="0067534F">
              <w:rPr>
                <w:rFonts w:asciiTheme="majorHAnsi" w:hAnsiTheme="majorHAnsi" w:cstheme="majorHAnsi"/>
                <w:color w:val="44546A" w:themeColor="text2"/>
              </w:rPr>
              <w:t>Chair of Management Committee</w:t>
            </w:r>
          </w:p>
        </w:tc>
        <w:tc>
          <w:tcPr>
            <w:tcW w:w="846" w:type="dxa"/>
            <w:vAlign w:val="bottom"/>
            <w:hideMark/>
          </w:tcPr>
          <w:p w14:paraId="2D9D57D9" w14:textId="77777777" w:rsidR="0067534F" w:rsidRPr="0067534F" w:rsidRDefault="0067534F" w:rsidP="0067534F">
            <w:pPr>
              <w:jc w:val="both"/>
              <w:rPr>
                <w:rFonts w:asciiTheme="majorHAnsi" w:hAnsiTheme="majorHAnsi" w:cstheme="majorHAnsi"/>
                <w:color w:val="44546A" w:themeColor="text2"/>
              </w:rPr>
            </w:pPr>
            <w:r w:rsidRPr="0067534F">
              <w:rPr>
                <w:rFonts w:asciiTheme="majorHAnsi" w:hAnsiTheme="majorHAnsi" w:cstheme="majorHAnsi"/>
                <w:color w:val="44546A" w:themeColor="text2"/>
              </w:rPr>
              <w:t>Date:</w:t>
            </w:r>
          </w:p>
        </w:tc>
        <w:tc>
          <w:tcPr>
            <w:tcW w:w="3218" w:type="dxa"/>
            <w:tcBorders>
              <w:top w:val="single" w:sz="2" w:space="0" w:color="auto"/>
              <w:left w:val="nil"/>
              <w:bottom w:val="single" w:sz="4" w:space="0" w:color="auto"/>
              <w:right w:val="nil"/>
            </w:tcBorders>
          </w:tcPr>
          <w:p w14:paraId="083FE79E" w14:textId="77777777" w:rsidR="0067534F" w:rsidRPr="0067534F" w:rsidRDefault="0067534F" w:rsidP="0067534F">
            <w:pPr>
              <w:jc w:val="both"/>
              <w:rPr>
                <w:rFonts w:asciiTheme="majorHAnsi" w:hAnsiTheme="majorHAnsi" w:cstheme="majorHAnsi"/>
                <w:color w:val="44546A" w:themeColor="text2"/>
              </w:rPr>
            </w:pPr>
          </w:p>
        </w:tc>
      </w:tr>
    </w:tbl>
    <w:p w14:paraId="5E6DE145" w14:textId="77777777" w:rsidR="0067534F" w:rsidRPr="0067534F" w:rsidRDefault="0067534F" w:rsidP="0067534F">
      <w:pPr>
        <w:spacing w:after="200" w:line="276" w:lineRule="auto"/>
        <w:ind w:left="1077"/>
        <w:contextualSpacing/>
        <w:outlineLvl w:val="0"/>
        <w:rPr>
          <w:rFonts w:asciiTheme="majorHAnsi" w:hAnsiTheme="majorHAnsi" w:cstheme="majorHAnsi"/>
          <w:b/>
          <w:sz w:val="28"/>
          <w:szCs w:val="32"/>
        </w:rPr>
      </w:pPr>
    </w:p>
    <w:p w14:paraId="3867FB18" w14:textId="77777777" w:rsidR="0067534F" w:rsidRDefault="0067534F" w:rsidP="0067534F">
      <w:pPr>
        <w:jc w:val="center"/>
        <w:rPr>
          <w:sz w:val="48"/>
          <w:szCs w:val="48"/>
        </w:rPr>
      </w:pPr>
    </w:p>
    <w:p w14:paraId="08189832" w14:textId="77777777" w:rsidR="0067534F" w:rsidRDefault="0067534F" w:rsidP="0067534F">
      <w:pPr>
        <w:jc w:val="center"/>
        <w:rPr>
          <w:sz w:val="48"/>
          <w:szCs w:val="48"/>
        </w:rPr>
      </w:pPr>
    </w:p>
    <w:p w14:paraId="32936CCA" w14:textId="77777777" w:rsidR="0067534F" w:rsidRDefault="0067534F" w:rsidP="0067534F">
      <w:r>
        <w:t xml:space="preserve">Tor School is committed to the creation of teaching and learning environments which meet the needs of young people. We aim to empower children to achieve in an atmosphere of safety and mutual respect. By removing barriers to learning that have been entrenched in former educational settings we work to support transfers back to mainstream school, further education or the world of work.  Everyone is expected to behave in a reasonable way, to accept responsibility for their behaviour and to encourage others to do the same. </w:t>
      </w:r>
    </w:p>
    <w:p w14:paraId="5CC144D1" w14:textId="77777777" w:rsidR="0067534F" w:rsidRDefault="0067534F" w:rsidP="0067534F">
      <w:r>
        <w:t xml:space="preserve"> </w:t>
      </w:r>
    </w:p>
    <w:p w14:paraId="551FD022" w14:textId="77777777" w:rsidR="00D96C5A" w:rsidRPr="00D96C5A" w:rsidRDefault="0067534F" w:rsidP="0067534F">
      <w:pPr>
        <w:rPr>
          <w:b/>
        </w:rPr>
      </w:pPr>
      <w:r w:rsidRPr="00D96C5A">
        <w:rPr>
          <w:b/>
        </w:rPr>
        <w:t xml:space="preserve">Purpose  </w:t>
      </w:r>
    </w:p>
    <w:p w14:paraId="7D79F20B" w14:textId="225FED50" w:rsidR="0067534F" w:rsidRDefault="0067534F" w:rsidP="0067534F">
      <w:r>
        <w:t xml:space="preserve">The purpose of the policy is to provide a simple, practical code-of-conduct for staff, learners and parent/ carers which: </w:t>
      </w:r>
    </w:p>
    <w:p w14:paraId="4A479452" w14:textId="77777777" w:rsidR="0067534F" w:rsidRDefault="0067534F" w:rsidP="0067534F">
      <w:r>
        <w:t xml:space="preserve"> </w:t>
      </w:r>
      <w:bookmarkStart w:id="0" w:name="_GoBack"/>
      <w:bookmarkEnd w:id="0"/>
    </w:p>
    <w:p w14:paraId="3711DF3D" w14:textId="77777777" w:rsidR="0067534F" w:rsidRDefault="0067534F" w:rsidP="0067534F">
      <w:r>
        <w:t xml:space="preserve">• Recognises behavioural norms  </w:t>
      </w:r>
    </w:p>
    <w:p w14:paraId="43ADEBA5" w14:textId="77777777" w:rsidR="0067534F" w:rsidRDefault="0067534F" w:rsidP="0067534F">
      <w:r>
        <w:t xml:space="preserve">• Positively reinforces behavioural norms </w:t>
      </w:r>
    </w:p>
    <w:p w14:paraId="0235F389" w14:textId="77777777" w:rsidR="0067534F" w:rsidRDefault="0067534F" w:rsidP="0067534F">
      <w:r>
        <w:t xml:space="preserve">• Promotes </w:t>
      </w:r>
      <w:proofErr w:type="spellStart"/>
      <w:r>
        <w:t>self esteem</w:t>
      </w:r>
      <w:proofErr w:type="spellEnd"/>
      <w:r>
        <w:t xml:space="preserve"> and </w:t>
      </w:r>
      <w:proofErr w:type="spellStart"/>
      <w:r>
        <w:t>self discipline</w:t>
      </w:r>
      <w:proofErr w:type="spellEnd"/>
      <w:r>
        <w:t xml:space="preserve"> </w:t>
      </w:r>
    </w:p>
    <w:p w14:paraId="6ACC7308" w14:textId="77777777" w:rsidR="0067534F" w:rsidRDefault="0067534F" w:rsidP="0067534F">
      <w:r>
        <w:t xml:space="preserve">• Teaches appropriate behaviour through positive interventions </w:t>
      </w:r>
    </w:p>
    <w:p w14:paraId="4065F6D0" w14:textId="77777777" w:rsidR="0067534F" w:rsidRDefault="0067534F" w:rsidP="0067534F">
      <w:r>
        <w:t xml:space="preserve"> </w:t>
      </w:r>
    </w:p>
    <w:p w14:paraId="22BA728A" w14:textId="77777777" w:rsidR="0067534F" w:rsidRDefault="0067534F" w:rsidP="0067534F">
      <w:r>
        <w:t xml:space="preserve">We believe </w:t>
      </w:r>
      <w:proofErr w:type="gramStart"/>
      <w:r>
        <w:t>all of</w:t>
      </w:r>
      <w:proofErr w:type="gramEnd"/>
      <w:r>
        <w:t xml:space="preserve"> our pupils can do well. We encourage success by supporting them to meet the following expectations:</w:t>
      </w:r>
    </w:p>
    <w:p w14:paraId="65C8DDF7" w14:textId="77777777" w:rsidR="0067534F" w:rsidRDefault="0067534F" w:rsidP="0067534F"/>
    <w:tbl>
      <w:tblPr>
        <w:tblStyle w:val="TableGrid"/>
        <w:tblW w:w="0" w:type="auto"/>
        <w:tblInd w:w="0" w:type="dxa"/>
        <w:tblLook w:val="04A0" w:firstRow="1" w:lastRow="0" w:firstColumn="1" w:lastColumn="0" w:noHBand="0" w:noVBand="1"/>
      </w:tblPr>
      <w:tblGrid>
        <w:gridCol w:w="3005"/>
        <w:gridCol w:w="3005"/>
        <w:gridCol w:w="3006"/>
      </w:tblGrid>
      <w:tr w:rsidR="0067534F" w14:paraId="7D95ED91" w14:textId="77777777" w:rsidTr="00C41253">
        <w:tc>
          <w:tcPr>
            <w:tcW w:w="9016" w:type="dxa"/>
            <w:gridSpan w:val="3"/>
            <w:shd w:val="clear" w:color="auto" w:fill="FFFF00"/>
          </w:tcPr>
          <w:p w14:paraId="65F831A8" w14:textId="77777777" w:rsidR="0067534F" w:rsidRPr="0067534F" w:rsidRDefault="0067534F" w:rsidP="0067534F">
            <w:pPr>
              <w:rPr>
                <w:sz w:val="72"/>
                <w:szCs w:val="72"/>
              </w:rPr>
            </w:pPr>
            <w:r w:rsidRPr="0067534F">
              <w:rPr>
                <w:sz w:val="72"/>
                <w:szCs w:val="72"/>
              </w:rPr>
              <w:t>Ready</w:t>
            </w:r>
          </w:p>
        </w:tc>
      </w:tr>
      <w:tr w:rsidR="0067534F" w14:paraId="130EDA16" w14:textId="77777777" w:rsidTr="00C41253">
        <w:tc>
          <w:tcPr>
            <w:tcW w:w="3005" w:type="dxa"/>
            <w:shd w:val="clear" w:color="auto" w:fill="92D050"/>
          </w:tcPr>
          <w:p w14:paraId="7BC7D752" w14:textId="77777777" w:rsidR="0067534F" w:rsidRDefault="0067534F" w:rsidP="0067534F">
            <w:r>
              <w:t>Be on time and go to all lessons</w:t>
            </w:r>
          </w:p>
        </w:tc>
        <w:tc>
          <w:tcPr>
            <w:tcW w:w="3005" w:type="dxa"/>
            <w:shd w:val="clear" w:color="auto" w:fill="00B0F0"/>
          </w:tcPr>
          <w:p w14:paraId="3C9C6A89" w14:textId="77777777" w:rsidR="0067534F" w:rsidRDefault="0067534F" w:rsidP="0067534F">
            <w:r>
              <w:t>Use mobile devices appropriately</w:t>
            </w:r>
          </w:p>
        </w:tc>
        <w:tc>
          <w:tcPr>
            <w:tcW w:w="3006" w:type="dxa"/>
            <w:shd w:val="clear" w:color="auto" w:fill="A8D08D" w:themeFill="accent6" w:themeFillTint="99"/>
          </w:tcPr>
          <w:p w14:paraId="57AFEC73" w14:textId="77777777" w:rsidR="0067534F" w:rsidRDefault="0067534F" w:rsidP="0067534F">
            <w:r>
              <w:t>Eat and drink in the right places</w:t>
            </w:r>
          </w:p>
        </w:tc>
      </w:tr>
      <w:tr w:rsidR="0067534F" w14:paraId="652F8592" w14:textId="77777777" w:rsidTr="00C41253">
        <w:tc>
          <w:tcPr>
            <w:tcW w:w="9016" w:type="dxa"/>
            <w:gridSpan w:val="3"/>
            <w:shd w:val="clear" w:color="auto" w:fill="FFFF00"/>
          </w:tcPr>
          <w:p w14:paraId="3BD13D75" w14:textId="77777777" w:rsidR="0067534F" w:rsidRPr="0067534F" w:rsidRDefault="0067534F" w:rsidP="0067534F">
            <w:pPr>
              <w:rPr>
                <w:sz w:val="72"/>
                <w:szCs w:val="72"/>
              </w:rPr>
            </w:pPr>
            <w:r w:rsidRPr="0067534F">
              <w:rPr>
                <w:sz w:val="72"/>
                <w:szCs w:val="72"/>
              </w:rPr>
              <w:t>Safe</w:t>
            </w:r>
          </w:p>
        </w:tc>
      </w:tr>
      <w:tr w:rsidR="0067534F" w14:paraId="35D4B221" w14:textId="77777777" w:rsidTr="00C41253">
        <w:tc>
          <w:tcPr>
            <w:tcW w:w="3005" w:type="dxa"/>
            <w:shd w:val="clear" w:color="auto" w:fill="92D050"/>
          </w:tcPr>
          <w:p w14:paraId="6B242A99" w14:textId="77777777" w:rsidR="0067534F" w:rsidRDefault="0067534F" w:rsidP="0067534F">
            <w:r>
              <w:t>Stay on site, be in the right place at the right time</w:t>
            </w:r>
          </w:p>
        </w:tc>
        <w:tc>
          <w:tcPr>
            <w:tcW w:w="3005" w:type="dxa"/>
            <w:shd w:val="clear" w:color="auto" w:fill="00B0F0"/>
          </w:tcPr>
          <w:p w14:paraId="65831362" w14:textId="77777777" w:rsidR="0067534F" w:rsidRDefault="0067534F" w:rsidP="0067534F"/>
        </w:tc>
        <w:tc>
          <w:tcPr>
            <w:tcW w:w="3006" w:type="dxa"/>
            <w:shd w:val="clear" w:color="auto" w:fill="A8D08D" w:themeFill="accent6" w:themeFillTint="99"/>
          </w:tcPr>
          <w:p w14:paraId="708B94B4" w14:textId="77777777" w:rsidR="0067534F" w:rsidRDefault="00C41253" w:rsidP="0067534F">
            <w:r>
              <w:t>Look after other people</w:t>
            </w:r>
          </w:p>
        </w:tc>
      </w:tr>
      <w:tr w:rsidR="0067534F" w14:paraId="2E2F17B0" w14:textId="77777777" w:rsidTr="00C41253">
        <w:tc>
          <w:tcPr>
            <w:tcW w:w="9016" w:type="dxa"/>
            <w:gridSpan w:val="3"/>
            <w:shd w:val="clear" w:color="auto" w:fill="FFFF00"/>
          </w:tcPr>
          <w:p w14:paraId="3BC275D4" w14:textId="77777777" w:rsidR="0067534F" w:rsidRPr="0067534F" w:rsidRDefault="0067534F" w:rsidP="0067534F">
            <w:pPr>
              <w:rPr>
                <w:sz w:val="72"/>
                <w:szCs w:val="72"/>
              </w:rPr>
            </w:pPr>
            <w:r w:rsidRPr="0067534F">
              <w:rPr>
                <w:sz w:val="72"/>
                <w:szCs w:val="72"/>
              </w:rPr>
              <w:t>Respect</w:t>
            </w:r>
          </w:p>
        </w:tc>
      </w:tr>
      <w:tr w:rsidR="0067534F" w14:paraId="6902BA58" w14:textId="77777777" w:rsidTr="00C41253">
        <w:tc>
          <w:tcPr>
            <w:tcW w:w="3005" w:type="dxa"/>
            <w:shd w:val="clear" w:color="auto" w:fill="92D050"/>
          </w:tcPr>
          <w:p w14:paraId="5FAC9453" w14:textId="77777777" w:rsidR="0067534F" w:rsidRDefault="00C41253" w:rsidP="0067534F">
            <w:r>
              <w:t>Use appropriate language</w:t>
            </w:r>
          </w:p>
        </w:tc>
        <w:tc>
          <w:tcPr>
            <w:tcW w:w="3005" w:type="dxa"/>
            <w:shd w:val="clear" w:color="auto" w:fill="00B0F0"/>
          </w:tcPr>
          <w:p w14:paraId="7AC328BD" w14:textId="77777777" w:rsidR="0067534F" w:rsidRDefault="00C41253" w:rsidP="0067534F">
            <w:r>
              <w:t>Look after the building and equipment</w:t>
            </w:r>
          </w:p>
        </w:tc>
        <w:tc>
          <w:tcPr>
            <w:tcW w:w="3006" w:type="dxa"/>
            <w:shd w:val="clear" w:color="auto" w:fill="A8D08D" w:themeFill="accent6" w:themeFillTint="99"/>
          </w:tcPr>
          <w:p w14:paraId="2BFECCC7" w14:textId="77777777" w:rsidR="0067534F" w:rsidRDefault="00C41253" w:rsidP="0067534F">
            <w:r>
              <w:t>Listen and expect to be listened to</w:t>
            </w:r>
          </w:p>
        </w:tc>
      </w:tr>
    </w:tbl>
    <w:p w14:paraId="28B3A9D2" w14:textId="77777777" w:rsidR="0067534F" w:rsidRDefault="0067534F" w:rsidP="0067534F"/>
    <w:p w14:paraId="0F86ADB1" w14:textId="77777777" w:rsidR="00013683" w:rsidRDefault="00013683" w:rsidP="00013683"/>
    <w:p w14:paraId="3CC20EF5" w14:textId="77777777" w:rsidR="00013683" w:rsidRDefault="00013683" w:rsidP="00013683"/>
    <w:p w14:paraId="7BC4948F" w14:textId="77777777" w:rsidR="00013683" w:rsidRDefault="00013683" w:rsidP="00013683"/>
    <w:p w14:paraId="3F841DB2" w14:textId="77777777" w:rsidR="00013683" w:rsidRDefault="00013683" w:rsidP="00013683">
      <w:r>
        <w:t>Children want adults to:</w:t>
      </w:r>
    </w:p>
    <w:p w14:paraId="4A74174C" w14:textId="77777777" w:rsidR="00013683" w:rsidRDefault="00013683" w:rsidP="00013683">
      <w:pPr>
        <w:pStyle w:val="ListParagraph"/>
        <w:numPr>
          <w:ilvl w:val="0"/>
          <w:numId w:val="3"/>
        </w:numPr>
      </w:pPr>
      <w:r>
        <w:t xml:space="preserve">treat them as a person </w:t>
      </w:r>
    </w:p>
    <w:p w14:paraId="62AE8C15" w14:textId="77777777" w:rsidR="00013683" w:rsidRDefault="00013683" w:rsidP="00013683">
      <w:pPr>
        <w:pStyle w:val="ListParagraph"/>
        <w:numPr>
          <w:ilvl w:val="0"/>
          <w:numId w:val="3"/>
        </w:numPr>
      </w:pPr>
      <w:r>
        <w:t>help them learn and feel confident</w:t>
      </w:r>
    </w:p>
    <w:p w14:paraId="5D40FAC9" w14:textId="77777777" w:rsidR="00013683" w:rsidRDefault="00013683" w:rsidP="00013683">
      <w:pPr>
        <w:pStyle w:val="ListParagraph"/>
        <w:numPr>
          <w:ilvl w:val="0"/>
          <w:numId w:val="3"/>
        </w:numPr>
      </w:pPr>
      <w:r>
        <w:t>make the day a pleasant one</w:t>
      </w:r>
    </w:p>
    <w:p w14:paraId="20E1E636" w14:textId="77777777" w:rsidR="00013683" w:rsidRDefault="00013683" w:rsidP="00013683">
      <w:pPr>
        <w:pStyle w:val="ListParagraph"/>
        <w:numPr>
          <w:ilvl w:val="0"/>
          <w:numId w:val="3"/>
        </w:numPr>
      </w:pPr>
      <w:r>
        <w:t>be just and fair</w:t>
      </w:r>
    </w:p>
    <w:p w14:paraId="15495C65" w14:textId="77777777" w:rsidR="00013683" w:rsidRDefault="00013683" w:rsidP="00013683">
      <w:pPr>
        <w:pStyle w:val="ListParagraph"/>
        <w:numPr>
          <w:ilvl w:val="0"/>
          <w:numId w:val="3"/>
        </w:numPr>
      </w:pPr>
      <w:r>
        <w:t xml:space="preserve">have a sense of humour </w:t>
      </w:r>
    </w:p>
    <w:p w14:paraId="3A6A39B3" w14:textId="77777777" w:rsidR="00013683" w:rsidRDefault="00013683" w:rsidP="00013683">
      <w:r>
        <w:t xml:space="preserve">and not to: </w:t>
      </w:r>
    </w:p>
    <w:p w14:paraId="18346BE9" w14:textId="77777777" w:rsidR="00013683" w:rsidRDefault="00013683" w:rsidP="00013683">
      <w:r>
        <w:t>• get upset or angry in the face of misbehaviour</w:t>
      </w:r>
    </w:p>
    <w:p w14:paraId="2E1C81FE" w14:textId="77777777" w:rsidR="00013683" w:rsidRDefault="00013683" w:rsidP="00013683"/>
    <w:p w14:paraId="16B3B788" w14:textId="77777777" w:rsidR="00013683" w:rsidRDefault="00013683" w:rsidP="00013683">
      <w:r>
        <w:t xml:space="preserve">All adults at Tor School have agreed to </w:t>
      </w:r>
      <w:proofErr w:type="gramStart"/>
      <w:r>
        <w:t>be :</w:t>
      </w:r>
      <w:proofErr w:type="gramEnd"/>
    </w:p>
    <w:p w14:paraId="0794901C" w14:textId="77777777" w:rsidR="00013683" w:rsidRDefault="00013683" w:rsidP="00013683">
      <w:pPr>
        <w:pStyle w:val="ListParagraph"/>
        <w:numPr>
          <w:ilvl w:val="0"/>
          <w:numId w:val="1"/>
        </w:numPr>
      </w:pPr>
      <w:r>
        <w:t>Welcoming</w:t>
      </w:r>
    </w:p>
    <w:p w14:paraId="69694262" w14:textId="77777777" w:rsidR="00013683" w:rsidRDefault="00013683" w:rsidP="00013683">
      <w:pPr>
        <w:pStyle w:val="ListParagraph"/>
        <w:numPr>
          <w:ilvl w:val="0"/>
          <w:numId w:val="1"/>
        </w:numPr>
      </w:pPr>
      <w:r>
        <w:t>Calm</w:t>
      </w:r>
    </w:p>
    <w:p w14:paraId="06249CFF" w14:textId="77777777" w:rsidR="00013683" w:rsidRDefault="00013683" w:rsidP="00013683">
      <w:pPr>
        <w:pStyle w:val="ListParagraph"/>
        <w:numPr>
          <w:ilvl w:val="0"/>
          <w:numId w:val="1"/>
        </w:numPr>
      </w:pPr>
      <w:r>
        <w:t>Aspirational</w:t>
      </w:r>
    </w:p>
    <w:p w14:paraId="45A78B9F" w14:textId="77777777" w:rsidR="00013683" w:rsidRDefault="00013683" w:rsidP="00706CDA">
      <w:pPr>
        <w:tabs>
          <w:tab w:val="left" w:pos="1958"/>
        </w:tabs>
      </w:pPr>
    </w:p>
    <w:p w14:paraId="47A43A50" w14:textId="77777777" w:rsidR="00706CDA" w:rsidRDefault="00706CDA" w:rsidP="00706CDA">
      <w:pPr>
        <w:tabs>
          <w:tab w:val="left" w:pos="1958"/>
        </w:tabs>
      </w:pPr>
      <w:r>
        <w:t xml:space="preserve">Many of our young people present with challenging behaviours. There are two extremes on a continuum. Those who externalise their feelings and behave in ways that draw attention to themselves or distract from how they feel; and those who internalise and disassociate themselves from their environment effectively shutting down. Neither of these responses is healthy or ok. </w:t>
      </w:r>
    </w:p>
    <w:p w14:paraId="025DE9F4" w14:textId="77777777" w:rsidR="00706CDA" w:rsidRDefault="00706CDA" w:rsidP="00706CDA">
      <w:pPr>
        <w:tabs>
          <w:tab w:val="left" w:pos="1958"/>
        </w:tabs>
      </w:pPr>
      <w:r>
        <w:t xml:space="preserve">Behaviour is usually, but not always a response to an emotion, but all behaviour is a form of communication and we as professionals should be adept at spotting and analysing what is being communicated. </w:t>
      </w:r>
    </w:p>
    <w:p w14:paraId="67E4F5C7" w14:textId="77777777" w:rsidR="00013683" w:rsidRDefault="00013683" w:rsidP="00706CDA">
      <w:pPr>
        <w:tabs>
          <w:tab w:val="left" w:pos="1958"/>
        </w:tabs>
      </w:pPr>
      <w:r>
        <w:t xml:space="preserve">When dealing with misbehaviour the following system will be used: </w:t>
      </w:r>
    </w:p>
    <w:p w14:paraId="55B5BFB7" w14:textId="77777777" w:rsidR="00013683" w:rsidRDefault="00013683" w:rsidP="00706CDA">
      <w:pPr>
        <w:tabs>
          <w:tab w:val="left" w:pos="1958"/>
        </w:tabs>
      </w:pPr>
    </w:p>
    <w:p w14:paraId="3888B9F4" w14:textId="77777777" w:rsidR="00013683" w:rsidRDefault="00013683" w:rsidP="00706CDA">
      <w:pPr>
        <w:tabs>
          <w:tab w:val="left" w:pos="1958"/>
        </w:tabs>
      </w:pPr>
      <w:r>
        <w:rPr>
          <w:noProof/>
        </w:rPr>
        <w:lastRenderedPageBreak/>
        <w:drawing>
          <wp:inline distT="0" distB="0" distL="0" distR="0" wp14:anchorId="41260848" wp14:editId="6B189A74">
            <wp:extent cx="5486400" cy="3200400"/>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052A3BF" w14:textId="77777777" w:rsidR="00706CDA" w:rsidRDefault="00706CDA" w:rsidP="00706CDA">
      <w:pPr>
        <w:tabs>
          <w:tab w:val="left" w:pos="1958"/>
        </w:tabs>
      </w:pPr>
      <w:r w:rsidRPr="00A45CBD">
        <w:rPr>
          <w:b/>
          <w:i/>
        </w:rPr>
        <w:t>Attune</w:t>
      </w:r>
      <w:r>
        <w:t xml:space="preserve">: Be alert to how they are feeling: demonstrate attuning to their emotional state showing you can catch how they feel through facial expression, body language, gesture, noises </w:t>
      </w:r>
    </w:p>
    <w:p w14:paraId="2D60DBFC" w14:textId="77777777" w:rsidR="00013683" w:rsidRDefault="00706CDA" w:rsidP="00706CDA">
      <w:pPr>
        <w:tabs>
          <w:tab w:val="left" w:pos="1958"/>
        </w:tabs>
      </w:pPr>
      <w:r>
        <w:t xml:space="preserve"> </w:t>
      </w:r>
      <w:r w:rsidRPr="00A45CBD">
        <w:rPr>
          <w:b/>
          <w:i/>
        </w:rPr>
        <w:t>Validate</w:t>
      </w:r>
      <w:r>
        <w:t xml:space="preserve">: Be alert to the child’s experience: validate their perspective/experience/feeling. This needs to happen before you move to help them regulate it. This is the beginning of being able to think about feelings. Avoid reassuring, persuading otherwise, contradicting. </w:t>
      </w:r>
    </w:p>
    <w:p w14:paraId="77E4274A" w14:textId="77777777" w:rsidR="00706CDA" w:rsidRDefault="00706CDA" w:rsidP="00706CDA">
      <w:pPr>
        <w:tabs>
          <w:tab w:val="left" w:pos="1958"/>
        </w:tabs>
        <w:rPr>
          <w:i/>
        </w:rPr>
      </w:pPr>
      <w:r w:rsidRPr="00A45CBD">
        <w:rPr>
          <w:b/>
          <w:i/>
        </w:rPr>
        <w:t>Containment</w:t>
      </w:r>
      <w:r>
        <w:t xml:space="preserve">: Be alert to how they are feeling: demonstrate containment. Show that you catch and understand the pitch/intensity/quality of their feeling or mood and that you can bear it. Make their strong </w:t>
      </w:r>
      <w:proofErr w:type="gramStart"/>
      <w:r>
        <w:t>emotions  a</w:t>
      </w:r>
      <w:proofErr w:type="gramEnd"/>
      <w:r>
        <w:t xml:space="preserve"> survivable experience. </w:t>
      </w:r>
      <w:r w:rsidRPr="00A45CBD">
        <w:rPr>
          <w:i/>
        </w:rPr>
        <w:t>Catch it, match it and dige</w:t>
      </w:r>
      <w:r w:rsidR="00013683">
        <w:rPr>
          <w:i/>
        </w:rPr>
        <w:t xml:space="preserve">st it. </w:t>
      </w:r>
    </w:p>
    <w:p w14:paraId="06C42C6F" w14:textId="77777777" w:rsidR="00013683" w:rsidRDefault="00013683" w:rsidP="00706CDA">
      <w:pPr>
        <w:tabs>
          <w:tab w:val="left" w:pos="1958"/>
        </w:tabs>
        <w:rPr>
          <w:i/>
        </w:rPr>
      </w:pPr>
    </w:p>
    <w:tbl>
      <w:tblPr>
        <w:tblStyle w:val="TableGrid"/>
        <w:tblW w:w="0" w:type="auto"/>
        <w:tblInd w:w="0" w:type="dxa"/>
        <w:tblLook w:val="04A0" w:firstRow="1" w:lastRow="0" w:firstColumn="1" w:lastColumn="0" w:noHBand="0" w:noVBand="1"/>
      </w:tblPr>
      <w:tblGrid>
        <w:gridCol w:w="9016"/>
      </w:tblGrid>
      <w:tr w:rsidR="00013683" w14:paraId="14597227" w14:textId="77777777" w:rsidTr="004F0AEC">
        <w:tc>
          <w:tcPr>
            <w:tcW w:w="9016" w:type="dxa"/>
          </w:tcPr>
          <w:p w14:paraId="2EE95D31" w14:textId="77777777" w:rsidR="00013683" w:rsidRDefault="00013683" w:rsidP="00013683">
            <w:pPr>
              <w:pStyle w:val="ListParagraph"/>
              <w:numPr>
                <w:ilvl w:val="0"/>
                <w:numId w:val="5"/>
              </w:numPr>
              <w:tabs>
                <w:tab w:val="left" w:pos="1958"/>
              </w:tabs>
            </w:pPr>
            <w:r>
              <w:t>I notice that you … (very specific feedback on what is happening)</w:t>
            </w:r>
          </w:p>
          <w:p w14:paraId="49A8E37D" w14:textId="77777777" w:rsidR="00013683" w:rsidRDefault="00013683" w:rsidP="00013683">
            <w:pPr>
              <w:pStyle w:val="ListParagraph"/>
              <w:numPr>
                <w:ilvl w:val="0"/>
                <w:numId w:val="5"/>
              </w:numPr>
              <w:tabs>
                <w:tab w:val="left" w:pos="1958"/>
              </w:tabs>
            </w:pPr>
            <w:r>
              <w:t xml:space="preserve">I know you are better than </w:t>
            </w:r>
            <w:proofErr w:type="gramStart"/>
            <w:r>
              <w:t>this,  remember</w:t>
            </w:r>
            <w:proofErr w:type="gramEnd"/>
            <w:r>
              <w:t xml:space="preserve"> last week when ….(reminder of previous good behaviour) </w:t>
            </w:r>
          </w:p>
          <w:p w14:paraId="6F2BFF36" w14:textId="77777777" w:rsidR="00013683" w:rsidRDefault="00013683" w:rsidP="00013683">
            <w:pPr>
              <w:pStyle w:val="ListParagraph"/>
              <w:numPr>
                <w:ilvl w:val="0"/>
                <w:numId w:val="5"/>
              </w:numPr>
              <w:tabs>
                <w:tab w:val="left" w:pos="1958"/>
              </w:tabs>
            </w:pPr>
            <w:r>
              <w:t xml:space="preserve">This is learning time </w:t>
            </w:r>
            <w:proofErr w:type="gramStart"/>
            <w:r>
              <w:t>now  so</w:t>
            </w:r>
            <w:proofErr w:type="gramEnd"/>
            <w:r>
              <w:t xml:space="preserve"> I’d like to have a 2 minute conversation with you about this at (lunch, break, planned time)</w:t>
            </w:r>
          </w:p>
          <w:p w14:paraId="05EA9B6E" w14:textId="77777777" w:rsidR="00013683" w:rsidRDefault="00013683" w:rsidP="004F0AEC">
            <w:pPr>
              <w:tabs>
                <w:tab w:val="left" w:pos="1958"/>
              </w:tabs>
            </w:pPr>
          </w:p>
        </w:tc>
      </w:tr>
    </w:tbl>
    <w:p w14:paraId="467CF592" w14:textId="77777777" w:rsidR="00013683" w:rsidRDefault="00013683" w:rsidP="00013683">
      <w:pPr>
        <w:tabs>
          <w:tab w:val="left" w:pos="1958"/>
        </w:tabs>
      </w:pPr>
    </w:p>
    <w:p w14:paraId="42E5ACBE" w14:textId="77777777" w:rsidR="00013683" w:rsidRDefault="00013683" w:rsidP="00013683">
      <w:pPr>
        <w:tabs>
          <w:tab w:val="left" w:pos="1958"/>
        </w:tabs>
      </w:pPr>
      <w:r>
        <w:t xml:space="preserve">It is important to then walk away and get drawn into secondary behaviour designed to drag you off at a tangent. </w:t>
      </w:r>
    </w:p>
    <w:p w14:paraId="0020D28A" w14:textId="77777777" w:rsidR="00013683" w:rsidRPr="006874AB" w:rsidRDefault="00013683" w:rsidP="00013683">
      <w:pPr>
        <w:shd w:val="clear" w:color="auto" w:fill="F2F2F2" w:themeFill="background1" w:themeFillShade="F2"/>
        <w:tabs>
          <w:tab w:val="left" w:pos="1958"/>
        </w:tabs>
        <w:rPr>
          <w:b/>
        </w:rPr>
      </w:pPr>
      <w:r w:rsidRPr="006874AB">
        <w:rPr>
          <w:b/>
        </w:rPr>
        <w:t xml:space="preserve">6 ways of rerouting power play and tangents: </w:t>
      </w:r>
    </w:p>
    <w:p w14:paraId="06399FA0" w14:textId="77777777" w:rsidR="00013683" w:rsidRDefault="00013683" w:rsidP="00013683">
      <w:pPr>
        <w:shd w:val="clear" w:color="auto" w:fill="F2F2F2" w:themeFill="background1" w:themeFillShade="F2"/>
        <w:tabs>
          <w:tab w:val="left" w:pos="1958"/>
        </w:tabs>
      </w:pPr>
      <w:r>
        <w:t xml:space="preserve">I understand that you are (angry, upset, </w:t>
      </w:r>
      <w:proofErr w:type="gramStart"/>
      <w:r>
        <w:t>livid)…</w:t>
      </w:r>
      <w:proofErr w:type="gramEnd"/>
    </w:p>
    <w:p w14:paraId="6BAD6609" w14:textId="77777777" w:rsidR="00013683" w:rsidRDefault="00013683" w:rsidP="00013683">
      <w:pPr>
        <w:shd w:val="clear" w:color="auto" w:fill="F2F2F2" w:themeFill="background1" w:themeFillShade="F2"/>
        <w:tabs>
          <w:tab w:val="left" w:pos="1958"/>
        </w:tabs>
      </w:pPr>
      <w:r>
        <w:t xml:space="preserve">I need you to </w:t>
      </w:r>
      <w:proofErr w:type="gramStart"/>
      <w:r>
        <w:t>…(</w:t>
      </w:r>
      <w:proofErr w:type="gramEnd"/>
      <w:r>
        <w:t xml:space="preserve">come with me so we can resolve this properly) </w:t>
      </w:r>
    </w:p>
    <w:p w14:paraId="76305639" w14:textId="77777777" w:rsidR="00013683" w:rsidRDefault="00013683" w:rsidP="00013683">
      <w:pPr>
        <w:shd w:val="clear" w:color="auto" w:fill="F2F2F2" w:themeFill="background1" w:themeFillShade="F2"/>
        <w:tabs>
          <w:tab w:val="left" w:pos="1958"/>
        </w:tabs>
      </w:pPr>
      <w:r>
        <w:t xml:space="preserve">Maybe you are </w:t>
      </w:r>
      <w:proofErr w:type="gramStart"/>
      <w:r>
        <w:t>right..</w:t>
      </w:r>
      <w:proofErr w:type="gramEnd"/>
      <w:r>
        <w:t xml:space="preserve">(maybe I need to speak to them too) </w:t>
      </w:r>
    </w:p>
    <w:p w14:paraId="3768B26F" w14:textId="77777777" w:rsidR="00013683" w:rsidRDefault="00013683" w:rsidP="00013683">
      <w:pPr>
        <w:shd w:val="clear" w:color="auto" w:fill="F2F2F2" w:themeFill="background1" w:themeFillShade="F2"/>
        <w:tabs>
          <w:tab w:val="left" w:pos="1958"/>
        </w:tabs>
      </w:pPr>
      <w:r>
        <w:t>Be that as it may</w:t>
      </w:r>
      <w:proofErr w:type="gramStart"/>
      <w:r>
        <w:t xml:space="preserve"> ..</w:t>
      </w:r>
      <w:proofErr w:type="gramEnd"/>
      <w:r>
        <w:t>(I still need you to join the group)</w:t>
      </w:r>
    </w:p>
    <w:p w14:paraId="46920B30" w14:textId="77777777" w:rsidR="00013683" w:rsidRDefault="00013683" w:rsidP="00013683">
      <w:pPr>
        <w:shd w:val="clear" w:color="auto" w:fill="F2F2F2" w:themeFill="background1" w:themeFillShade="F2"/>
        <w:tabs>
          <w:tab w:val="left" w:pos="1958"/>
        </w:tabs>
      </w:pPr>
      <w:r>
        <w:t xml:space="preserve">I’ve often thought the </w:t>
      </w:r>
      <w:proofErr w:type="gramStart"/>
      <w:r>
        <w:t>same..</w:t>
      </w:r>
      <w:proofErr w:type="gramEnd"/>
      <w:r>
        <w:t xml:space="preserve"> (but we need to focus on)</w:t>
      </w:r>
    </w:p>
    <w:p w14:paraId="6BC4197C" w14:textId="77777777" w:rsidR="00013683" w:rsidRDefault="00013683" w:rsidP="00013683">
      <w:pPr>
        <w:shd w:val="clear" w:color="auto" w:fill="F2F2F2" w:themeFill="background1" w:themeFillShade="F2"/>
        <w:tabs>
          <w:tab w:val="left" w:pos="1958"/>
        </w:tabs>
      </w:pPr>
      <w:r>
        <w:lastRenderedPageBreak/>
        <w:t>I hear you</w:t>
      </w:r>
      <w:proofErr w:type="gramStart"/>
      <w:r>
        <w:t xml:space="preserve"> ..</w:t>
      </w:r>
      <w:proofErr w:type="gramEnd"/>
      <w:r>
        <w:t>(It’s not easy but I know you can do it brilliantly)</w:t>
      </w:r>
    </w:p>
    <w:p w14:paraId="5D129D36" w14:textId="77777777" w:rsidR="00013683" w:rsidRPr="008C13C0" w:rsidRDefault="00013683" w:rsidP="00013683">
      <w:pPr>
        <w:tabs>
          <w:tab w:val="left" w:pos="1958"/>
        </w:tabs>
        <w:rPr>
          <w:b/>
        </w:rPr>
      </w:pPr>
      <w:r w:rsidRPr="008C13C0">
        <w:rPr>
          <w:b/>
        </w:rPr>
        <w:t>The repair meeting</w:t>
      </w:r>
    </w:p>
    <w:p w14:paraId="2E260180" w14:textId="77777777" w:rsidR="00013683" w:rsidRDefault="00013683" w:rsidP="00013683">
      <w:pPr>
        <w:tabs>
          <w:tab w:val="left" w:pos="1958"/>
        </w:tabs>
      </w:pPr>
      <w:r>
        <w:t xml:space="preserve">Sometimes a longer meeting is necessary with a pupil to repair the relationship. This should be a friendly informal meeting in one of the quiet rooms with a glass of water or a cuppa provided by you for the pupil. If a pupil clams up answer the questions yourself and muse curiously. </w:t>
      </w:r>
    </w:p>
    <w:p w14:paraId="03146006" w14:textId="77777777" w:rsidR="00013683" w:rsidRDefault="00013683" w:rsidP="00013683">
      <w:pPr>
        <w:pStyle w:val="ListParagraph"/>
        <w:numPr>
          <w:ilvl w:val="0"/>
          <w:numId w:val="6"/>
        </w:numPr>
        <w:shd w:val="clear" w:color="auto" w:fill="F2F2F2" w:themeFill="background1" w:themeFillShade="F2"/>
        <w:tabs>
          <w:tab w:val="left" w:pos="1958"/>
        </w:tabs>
      </w:pPr>
      <w:r>
        <w:t>What happened?  Listen and don’t interrupt</w:t>
      </w:r>
    </w:p>
    <w:p w14:paraId="3FB47576" w14:textId="77777777" w:rsidR="00013683" w:rsidRDefault="00013683" w:rsidP="00013683">
      <w:pPr>
        <w:pStyle w:val="ListParagraph"/>
        <w:numPr>
          <w:ilvl w:val="0"/>
          <w:numId w:val="6"/>
        </w:numPr>
        <w:shd w:val="clear" w:color="auto" w:fill="F2F2F2" w:themeFill="background1" w:themeFillShade="F2"/>
        <w:tabs>
          <w:tab w:val="left" w:pos="1958"/>
        </w:tabs>
      </w:pPr>
      <w:r>
        <w:t xml:space="preserve">What were you thinking/ feeling at the time? </w:t>
      </w:r>
    </w:p>
    <w:p w14:paraId="090AFAF4" w14:textId="77777777" w:rsidR="00013683" w:rsidRDefault="00013683" w:rsidP="00013683">
      <w:pPr>
        <w:pStyle w:val="ListParagraph"/>
        <w:numPr>
          <w:ilvl w:val="0"/>
          <w:numId w:val="6"/>
        </w:numPr>
        <w:shd w:val="clear" w:color="auto" w:fill="F2F2F2" w:themeFill="background1" w:themeFillShade="F2"/>
        <w:tabs>
          <w:tab w:val="left" w:pos="1958"/>
        </w:tabs>
      </w:pPr>
      <w:r>
        <w:t xml:space="preserve">What have you thought since? </w:t>
      </w:r>
    </w:p>
    <w:p w14:paraId="054A06E9" w14:textId="77777777" w:rsidR="00013683" w:rsidRDefault="00013683" w:rsidP="00013683">
      <w:pPr>
        <w:pStyle w:val="ListParagraph"/>
        <w:numPr>
          <w:ilvl w:val="0"/>
          <w:numId w:val="6"/>
        </w:numPr>
        <w:shd w:val="clear" w:color="auto" w:fill="F2F2F2" w:themeFill="background1" w:themeFillShade="F2"/>
        <w:tabs>
          <w:tab w:val="left" w:pos="1958"/>
        </w:tabs>
      </w:pPr>
      <w:r>
        <w:t xml:space="preserve">Who else was affected by what happened? </w:t>
      </w:r>
    </w:p>
    <w:p w14:paraId="03F7C8D4" w14:textId="77777777" w:rsidR="00013683" w:rsidRDefault="00013683" w:rsidP="00013683">
      <w:pPr>
        <w:pStyle w:val="ListParagraph"/>
        <w:numPr>
          <w:ilvl w:val="0"/>
          <w:numId w:val="6"/>
        </w:numPr>
        <w:shd w:val="clear" w:color="auto" w:fill="F2F2F2" w:themeFill="background1" w:themeFillShade="F2"/>
        <w:tabs>
          <w:tab w:val="left" w:pos="1958"/>
        </w:tabs>
      </w:pPr>
      <w:r>
        <w:t xml:space="preserve">How have they been affected? </w:t>
      </w:r>
    </w:p>
    <w:p w14:paraId="53E0189F" w14:textId="77777777" w:rsidR="00013683" w:rsidRDefault="00013683" w:rsidP="00013683">
      <w:pPr>
        <w:pStyle w:val="ListParagraph"/>
        <w:numPr>
          <w:ilvl w:val="0"/>
          <w:numId w:val="6"/>
        </w:numPr>
        <w:shd w:val="clear" w:color="auto" w:fill="F2F2F2" w:themeFill="background1" w:themeFillShade="F2"/>
        <w:tabs>
          <w:tab w:val="left" w:pos="1958"/>
        </w:tabs>
      </w:pPr>
      <w:r>
        <w:t xml:space="preserve">What can we do differently in the future? </w:t>
      </w:r>
    </w:p>
    <w:p w14:paraId="571D8106" w14:textId="77777777" w:rsidR="00013683" w:rsidRDefault="00013683" w:rsidP="00013683">
      <w:pPr>
        <w:tabs>
          <w:tab w:val="left" w:pos="1958"/>
        </w:tabs>
      </w:pPr>
      <w:r>
        <w:t xml:space="preserve">Use your judgement to phrase the questions for the pupil in front of you. The meeting should feel natural not stinted. </w:t>
      </w:r>
    </w:p>
    <w:p w14:paraId="21EBA749" w14:textId="77777777" w:rsidR="00013683" w:rsidRDefault="00013683" w:rsidP="00013683">
      <w:pPr>
        <w:pBdr>
          <w:bottom w:val="single" w:sz="4" w:space="1" w:color="auto"/>
        </w:pBdr>
        <w:tabs>
          <w:tab w:val="left" w:pos="1958"/>
        </w:tabs>
      </w:pPr>
    </w:p>
    <w:p w14:paraId="687D68C5" w14:textId="77777777" w:rsidR="00013683" w:rsidRDefault="00013683" w:rsidP="00013683">
      <w:pPr>
        <w:tabs>
          <w:tab w:val="left" w:pos="1958"/>
        </w:tabs>
      </w:pPr>
      <w:r>
        <w:t xml:space="preserve">Learning of any kind can only take place when these consistencies are present or felt. All adults should adopt a common approach recognising that punishments or heavy sanctions do not work with our pupils. They are adept at playing games with them. Secondary behaviours designed to deflect from the original behaviour, or </w:t>
      </w:r>
      <w:proofErr w:type="gramStart"/>
      <w:r>
        <w:t>enter into</w:t>
      </w:r>
      <w:proofErr w:type="gramEnd"/>
      <w:r>
        <w:t xml:space="preserve"> power play should always be ignored. However, knowing that someone will at some point talk to them about their behaviour will get the message across. If someone is refusing to work or move it’s never a good idea to get drawn into long protracted tangential arguments or bargaining. </w:t>
      </w:r>
    </w:p>
    <w:p w14:paraId="2E2931D2" w14:textId="77777777" w:rsidR="00013683" w:rsidRPr="00013683" w:rsidRDefault="00013683" w:rsidP="00706CDA">
      <w:pPr>
        <w:tabs>
          <w:tab w:val="left" w:pos="1958"/>
        </w:tabs>
      </w:pPr>
    </w:p>
    <w:p w14:paraId="7D692079" w14:textId="77777777" w:rsidR="00C41253" w:rsidRDefault="00C41253" w:rsidP="0067534F"/>
    <w:p w14:paraId="450FC455" w14:textId="77777777" w:rsidR="00706CDA" w:rsidRPr="00706CDA" w:rsidRDefault="00706CDA" w:rsidP="00706CDA">
      <w:pPr>
        <w:rPr>
          <w:b/>
        </w:rPr>
      </w:pPr>
      <w:r w:rsidRPr="00706CDA">
        <w:rPr>
          <w:b/>
        </w:rPr>
        <w:t xml:space="preserve">Exclusion </w:t>
      </w:r>
    </w:p>
    <w:p w14:paraId="08EBCCD2" w14:textId="77777777" w:rsidR="00706CDA" w:rsidRDefault="00706CDA" w:rsidP="00706CDA">
      <w:r>
        <w:t xml:space="preserve">The </w:t>
      </w:r>
      <w:proofErr w:type="gramStart"/>
      <w:r>
        <w:t>vast majority</w:t>
      </w:r>
      <w:proofErr w:type="gramEnd"/>
      <w:r>
        <w:t xml:space="preserve"> of behaviour is managed in school however, on occasion a learner might be required to leave school premises. In cases where s/he refuses to leave an appropriate staff member will contact parents. </w:t>
      </w:r>
    </w:p>
    <w:p w14:paraId="591D42E5" w14:textId="77777777" w:rsidR="00706CDA" w:rsidRDefault="00706CDA" w:rsidP="00706CDA">
      <w:r>
        <w:t xml:space="preserve">There are </w:t>
      </w:r>
      <w:proofErr w:type="gramStart"/>
      <w:r>
        <w:t>a number of</w:t>
      </w:r>
      <w:proofErr w:type="gramEnd"/>
      <w:r>
        <w:t xml:space="preserve"> more serious behaviours that stop learners doing well and could result in exclusion or a review of placement. These include:  </w:t>
      </w:r>
    </w:p>
    <w:p w14:paraId="529C2448" w14:textId="77777777" w:rsidR="00706CDA" w:rsidRDefault="00706CDA" w:rsidP="00706CDA">
      <w:r>
        <w:t xml:space="preserve"> </w:t>
      </w:r>
    </w:p>
    <w:p w14:paraId="4B28B6DF" w14:textId="77777777" w:rsidR="00706CDA" w:rsidRDefault="00706CDA" w:rsidP="00706CDA">
      <w:pPr>
        <w:pStyle w:val="ListParagraph"/>
        <w:numPr>
          <w:ilvl w:val="0"/>
          <w:numId w:val="4"/>
        </w:numPr>
      </w:pPr>
      <w:r>
        <w:t>Verbal or physical abuse of staff</w:t>
      </w:r>
    </w:p>
    <w:p w14:paraId="73FC653F" w14:textId="77777777" w:rsidR="00706CDA" w:rsidRDefault="00706CDA" w:rsidP="00706CDA">
      <w:pPr>
        <w:pStyle w:val="ListParagraph"/>
        <w:numPr>
          <w:ilvl w:val="0"/>
          <w:numId w:val="4"/>
        </w:numPr>
      </w:pPr>
      <w:r>
        <w:t>Bullying – physical, verbal, emotional</w:t>
      </w:r>
    </w:p>
    <w:p w14:paraId="34C512BB" w14:textId="77777777" w:rsidR="00706CDA" w:rsidRDefault="00706CDA" w:rsidP="00706CDA">
      <w:pPr>
        <w:pStyle w:val="ListParagraph"/>
        <w:numPr>
          <w:ilvl w:val="0"/>
          <w:numId w:val="4"/>
        </w:numPr>
      </w:pPr>
      <w:r>
        <w:t>Sexual harassment of any kind</w:t>
      </w:r>
    </w:p>
    <w:p w14:paraId="076C58B1" w14:textId="77777777" w:rsidR="00706CDA" w:rsidRDefault="00706CDA" w:rsidP="00706CDA">
      <w:pPr>
        <w:pStyle w:val="ListParagraph"/>
        <w:numPr>
          <w:ilvl w:val="0"/>
          <w:numId w:val="4"/>
        </w:numPr>
      </w:pPr>
      <w:r>
        <w:t>Prejudice on grounds of race, age, gender, sexuality, disability and others</w:t>
      </w:r>
    </w:p>
    <w:p w14:paraId="62934016" w14:textId="77777777" w:rsidR="00706CDA" w:rsidRDefault="00706CDA" w:rsidP="00706CDA">
      <w:pPr>
        <w:pStyle w:val="ListParagraph"/>
        <w:numPr>
          <w:ilvl w:val="0"/>
          <w:numId w:val="4"/>
        </w:numPr>
      </w:pPr>
      <w:r>
        <w:t>Carrying an offensive weapon</w:t>
      </w:r>
    </w:p>
    <w:p w14:paraId="460E7843" w14:textId="77777777" w:rsidR="00706CDA" w:rsidRDefault="00706CDA" w:rsidP="00706CDA">
      <w:pPr>
        <w:pStyle w:val="ListParagraph"/>
        <w:numPr>
          <w:ilvl w:val="0"/>
          <w:numId w:val="4"/>
        </w:numPr>
      </w:pPr>
      <w:r>
        <w:t>Use or sale of alcohol or other mood-changing drugs</w:t>
      </w:r>
    </w:p>
    <w:p w14:paraId="34288E3D" w14:textId="77777777" w:rsidR="00706CDA" w:rsidRDefault="00706CDA" w:rsidP="00706CDA">
      <w:pPr>
        <w:pStyle w:val="ListParagraph"/>
        <w:numPr>
          <w:ilvl w:val="0"/>
          <w:numId w:val="4"/>
        </w:numPr>
      </w:pPr>
      <w:r>
        <w:t>Deliberate damage or theft of property</w:t>
      </w:r>
    </w:p>
    <w:p w14:paraId="12E58338" w14:textId="77777777" w:rsidR="00706CDA" w:rsidRDefault="00706CDA" w:rsidP="00706CDA">
      <w:pPr>
        <w:pStyle w:val="ListParagraph"/>
        <w:numPr>
          <w:ilvl w:val="0"/>
          <w:numId w:val="4"/>
        </w:numPr>
      </w:pPr>
      <w:r>
        <w:t>Smoking in or around the building</w:t>
      </w:r>
    </w:p>
    <w:p w14:paraId="09E7B2A5" w14:textId="77777777" w:rsidR="00706CDA" w:rsidRDefault="00706CDA" w:rsidP="00706CDA">
      <w:pPr>
        <w:pStyle w:val="ListParagraph"/>
        <w:numPr>
          <w:ilvl w:val="0"/>
          <w:numId w:val="4"/>
        </w:numPr>
      </w:pPr>
      <w:r>
        <w:t>Refusing to leave the premises when asked</w:t>
      </w:r>
    </w:p>
    <w:p w14:paraId="18BD195E" w14:textId="77777777" w:rsidR="00706CDA" w:rsidRDefault="00706CDA" w:rsidP="00706CDA">
      <w:pPr>
        <w:pStyle w:val="ListParagraph"/>
        <w:numPr>
          <w:ilvl w:val="0"/>
          <w:numId w:val="4"/>
        </w:numPr>
      </w:pPr>
      <w:r>
        <w:t xml:space="preserve">Gambling </w:t>
      </w:r>
    </w:p>
    <w:p w14:paraId="2982F22F" w14:textId="77777777" w:rsidR="00706CDA" w:rsidRDefault="00706CDA" w:rsidP="00706CDA">
      <w:r>
        <w:lastRenderedPageBreak/>
        <w:t xml:space="preserve"> </w:t>
      </w:r>
    </w:p>
    <w:p w14:paraId="1F91B00C" w14:textId="77777777" w:rsidR="00706CDA" w:rsidRDefault="00706CDA" w:rsidP="00706CDA"/>
    <w:p w14:paraId="331B6DF7" w14:textId="77777777" w:rsidR="00706CDA" w:rsidRDefault="00706CDA" w:rsidP="00706CDA">
      <w:r>
        <w:t xml:space="preserve"> </w:t>
      </w:r>
    </w:p>
    <w:p w14:paraId="3E5659A6" w14:textId="77777777" w:rsidR="00706CDA" w:rsidRDefault="00706CDA" w:rsidP="00706CDA">
      <w:r>
        <w:t xml:space="preserve"> </w:t>
      </w:r>
    </w:p>
    <w:p w14:paraId="11BA02A2" w14:textId="77777777" w:rsidR="00706CDA" w:rsidRDefault="00706CDA" w:rsidP="00706CDA"/>
    <w:p w14:paraId="2803C5B6" w14:textId="77777777" w:rsidR="00706CDA" w:rsidRDefault="00706CDA" w:rsidP="00706CDA"/>
    <w:p w14:paraId="33C4AE2F" w14:textId="77777777" w:rsidR="00706CDA" w:rsidRDefault="00706CDA" w:rsidP="0067534F"/>
    <w:p w14:paraId="1B5B1D77" w14:textId="77777777" w:rsidR="00C41253" w:rsidRDefault="00C41253" w:rsidP="0067534F"/>
    <w:p w14:paraId="11861049" w14:textId="77777777" w:rsidR="00C41253" w:rsidRPr="0067534F" w:rsidRDefault="00C41253" w:rsidP="0067534F"/>
    <w:sectPr w:rsidR="00C41253" w:rsidRPr="00675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4B1F"/>
    <w:multiLevelType w:val="hybridMultilevel"/>
    <w:tmpl w:val="53EE5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3B506C"/>
    <w:multiLevelType w:val="hybridMultilevel"/>
    <w:tmpl w:val="EDDA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5656B"/>
    <w:multiLevelType w:val="hybridMultilevel"/>
    <w:tmpl w:val="514A1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0114B"/>
    <w:multiLevelType w:val="hybridMultilevel"/>
    <w:tmpl w:val="1774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82E83"/>
    <w:multiLevelType w:val="hybridMultilevel"/>
    <w:tmpl w:val="81F86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2102A1"/>
    <w:multiLevelType w:val="hybridMultilevel"/>
    <w:tmpl w:val="08A0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4F"/>
    <w:rsid w:val="00013683"/>
    <w:rsid w:val="00032533"/>
    <w:rsid w:val="0067534F"/>
    <w:rsid w:val="00706CDA"/>
    <w:rsid w:val="00C41253"/>
    <w:rsid w:val="00D9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B99E"/>
  <w15:chartTrackingRefBased/>
  <w15:docId w15:val="{D8BC8BD7-C74A-4D6E-BD9C-D4B377E8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49E405-28D6-4D93-B313-F61A4C48552B}" type="doc">
      <dgm:prSet loTypeId="urn:microsoft.com/office/officeart/2005/8/layout/hChevron3" loCatId="process" qsTypeId="urn:microsoft.com/office/officeart/2005/8/quickstyle/simple1" qsCatId="simple" csTypeId="urn:microsoft.com/office/officeart/2005/8/colors/colorful1" csCatId="colorful" phldr="1"/>
      <dgm:spPr/>
    </dgm:pt>
    <dgm:pt modelId="{304E0625-84E7-471A-B45F-043EDFEB2BA1}">
      <dgm:prSet phldrT="[Text]"/>
      <dgm:spPr/>
      <dgm:t>
        <a:bodyPr/>
        <a:lstStyle/>
        <a:p>
          <a:r>
            <a:rPr lang="en-US"/>
            <a:t>Attune</a:t>
          </a:r>
        </a:p>
      </dgm:t>
    </dgm:pt>
    <dgm:pt modelId="{0DD5F6D1-5478-483D-981F-F810FAE5DAB9}" type="parTrans" cxnId="{2FAD9AEA-9F42-4484-858C-A44A973F18A7}">
      <dgm:prSet/>
      <dgm:spPr/>
    </dgm:pt>
    <dgm:pt modelId="{67BC8E77-C6AD-4E23-81FA-271CBDE0288D}" type="sibTrans" cxnId="{2FAD9AEA-9F42-4484-858C-A44A973F18A7}">
      <dgm:prSet/>
      <dgm:spPr/>
    </dgm:pt>
    <dgm:pt modelId="{38363FB6-515A-4E3D-93C5-EB4259CD20C9}">
      <dgm:prSet phldrT="[Text]"/>
      <dgm:spPr/>
      <dgm:t>
        <a:bodyPr/>
        <a:lstStyle/>
        <a:p>
          <a:r>
            <a:rPr lang="en-US"/>
            <a:t>Validate</a:t>
          </a:r>
        </a:p>
      </dgm:t>
    </dgm:pt>
    <dgm:pt modelId="{E9D39D8D-F437-45F7-9BEE-2BE2BB23B55B}" type="parTrans" cxnId="{51BC215F-ABC1-46F2-817C-AE4296D21AD6}">
      <dgm:prSet/>
      <dgm:spPr/>
    </dgm:pt>
    <dgm:pt modelId="{B0AB53C3-5B29-454D-8083-2C2901F23ECC}" type="sibTrans" cxnId="{51BC215F-ABC1-46F2-817C-AE4296D21AD6}">
      <dgm:prSet/>
      <dgm:spPr/>
    </dgm:pt>
    <dgm:pt modelId="{03ACD554-7092-42EE-936C-D2409C2A0A5A}">
      <dgm:prSet phldrT="[Text]"/>
      <dgm:spPr/>
      <dgm:t>
        <a:bodyPr/>
        <a:lstStyle/>
        <a:p>
          <a:r>
            <a:rPr lang="en-US"/>
            <a:t>Sooth and contain</a:t>
          </a:r>
        </a:p>
      </dgm:t>
    </dgm:pt>
    <dgm:pt modelId="{0DE74921-CE4A-4BBF-8DEB-9E9A2A47B8DC}" type="parTrans" cxnId="{731577B2-71B0-4E0C-BF6A-055F3CC11CF5}">
      <dgm:prSet/>
      <dgm:spPr/>
    </dgm:pt>
    <dgm:pt modelId="{DE537EB4-DC1A-43D3-BFA3-E72A19A687FF}" type="sibTrans" cxnId="{731577B2-71B0-4E0C-BF6A-055F3CC11CF5}">
      <dgm:prSet/>
      <dgm:spPr/>
    </dgm:pt>
    <dgm:pt modelId="{4534B863-448C-4D8A-ADBF-9DCC9357D764}" type="pres">
      <dgm:prSet presAssocID="{0F49E405-28D6-4D93-B313-F61A4C48552B}" presName="Name0" presStyleCnt="0">
        <dgm:presLayoutVars>
          <dgm:dir/>
          <dgm:resizeHandles val="exact"/>
        </dgm:presLayoutVars>
      </dgm:prSet>
      <dgm:spPr/>
    </dgm:pt>
    <dgm:pt modelId="{7628A9C8-D0D4-4D7C-94AA-88076E4D6BF7}" type="pres">
      <dgm:prSet presAssocID="{304E0625-84E7-471A-B45F-043EDFEB2BA1}" presName="parTxOnly" presStyleLbl="node1" presStyleIdx="0" presStyleCnt="3">
        <dgm:presLayoutVars>
          <dgm:bulletEnabled val="1"/>
        </dgm:presLayoutVars>
      </dgm:prSet>
      <dgm:spPr/>
    </dgm:pt>
    <dgm:pt modelId="{5E99ED31-2CDE-493B-AFE5-1393DB16EF17}" type="pres">
      <dgm:prSet presAssocID="{67BC8E77-C6AD-4E23-81FA-271CBDE0288D}" presName="parSpace" presStyleCnt="0"/>
      <dgm:spPr/>
    </dgm:pt>
    <dgm:pt modelId="{87429B99-3E1E-41F5-A4E2-FB866021F0BE}" type="pres">
      <dgm:prSet presAssocID="{38363FB6-515A-4E3D-93C5-EB4259CD20C9}" presName="parTxOnly" presStyleLbl="node1" presStyleIdx="1" presStyleCnt="3">
        <dgm:presLayoutVars>
          <dgm:bulletEnabled val="1"/>
        </dgm:presLayoutVars>
      </dgm:prSet>
      <dgm:spPr/>
    </dgm:pt>
    <dgm:pt modelId="{97DD233A-F8A1-41F0-9791-51A108433064}" type="pres">
      <dgm:prSet presAssocID="{B0AB53C3-5B29-454D-8083-2C2901F23ECC}" presName="parSpace" presStyleCnt="0"/>
      <dgm:spPr/>
    </dgm:pt>
    <dgm:pt modelId="{902D726C-67F7-4407-91A7-222C93DB0298}" type="pres">
      <dgm:prSet presAssocID="{03ACD554-7092-42EE-936C-D2409C2A0A5A}" presName="parTxOnly" presStyleLbl="node1" presStyleIdx="2" presStyleCnt="3">
        <dgm:presLayoutVars>
          <dgm:bulletEnabled val="1"/>
        </dgm:presLayoutVars>
      </dgm:prSet>
      <dgm:spPr/>
    </dgm:pt>
  </dgm:ptLst>
  <dgm:cxnLst>
    <dgm:cxn modelId="{5599E10D-FC84-4687-A7F9-033CD98768ED}" type="presOf" srcId="{0F49E405-28D6-4D93-B313-F61A4C48552B}" destId="{4534B863-448C-4D8A-ADBF-9DCC9357D764}" srcOrd="0" destOrd="0" presId="urn:microsoft.com/office/officeart/2005/8/layout/hChevron3"/>
    <dgm:cxn modelId="{51BC215F-ABC1-46F2-817C-AE4296D21AD6}" srcId="{0F49E405-28D6-4D93-B313-F61A4C48552B}" destId="{38363FB6-515A-4E3D-93C5-EB4259CD20C9}" srcOrd="1" destOrd="0" parTransId="{E9D39D8D-F437-45F7-9BEE-2BE2BB23B55B}" sibTransId="{B0AB53C3-5B29-454D-8083-2C2901F23ECC}"/>
    <dgm:cxn modelId="{731577B2-71B0-4E0C-BF6A-055F3CC11CF5}" srcId="{0F49E405-28D6-4D93-B313-F61A4C48552B}" destId="{03ACD554-7092-42EE-936C-D2409C2A0A5A}" srcOrd="2" destOrd="0" parTransId="{0DE74921-CE4A-4BBF-8DEB-9E9A2A47B8DC}" sibTransId="{DE537EB4-DC1A-43D3-BFA3-E72A19A687FF}"/>
    <dgm:cxn modelId="{2FAD9AEA-9F42-4484-858C-A44A973F18A7}" srcId="{0F49E405-28D6-4D93-B313-F61A4C48552B}" destId="{304E0625-84E7-471A-B45F-043EDFEB2BA1}" srcOrd="0" destOrd="0" parTransId="{0DD5F6D1-5478-483D-981F-F810FAE5DAB9}" sibTransId="{67BC8E77-C6AD-4E23-81FA-271CBDE0288D}"/>
    <dgm:cxn modelId="{ABA17BEC-8645-45F1-BB56-6F624B4494F2}" type="presOf" srcId="{38363FB6-515A-4E3D-93C5-EB4259CD20C9}" destId="{87429B99-3E1E-41F5-A4E2-FB866021F0BE}" srcOrd="0" destOrd="0" presId="urn:microsoft.com/office/officeart/2005/8/layout/hChevron3"/>
    <dgm:cxn modelId="{075879FE-0302-4656-B307-B6190CA5DD4D}" type="presOf" srcId="{03ACD554-7092-42EE-936C-D2409C2A0A5A}" destId="{902D726C-67F7-4407-91A7-222C93DB0298}" srcOrd="0" destOrd="0" presId="urn:microsoft.com/office/officeart/2005/8/layout/hChevron3"/>
    <dgm:cxn modelId="{986888FF-F03B-4829-B731-3240DC50118F}" type="presOf" srcId="{304E0625-84E7-471A-B45F-043EDFEB2BA1}" destId="{7628A9C8-D0D4-4D7C-94AA-88076E4D6BF7}" srcOrd="0" destOrd="0" presId="urn:microsoft.com/office/officeart/2005/8/layout/hChevron3"/>
    <dgm:cxn modelId="{A072313F-9465-4274-A124-48B24A81B118}" type="presParOf" srcId="{4534B863-448C-4D8A-ADBF-9DCC9357D764}" destId="{7628A9C8-D0D4-4D7C-94AA-88076E4D6BF7}" srcOrd="0" destOrd="0" presId="urn:microsoft.com/office/officeart/2005/8/layout/hChevron3"/>
    <dgm:cxn modelId="{858B394E-736E-4EE8-8ED4-B007607C5475}" type="presParOf" srcId="{4534B863-448C-4D8A-ADBF-9DCC9357D764}" destId="{5E99ED31-2CDE-493B-AFE5-1393DB16EF17}" srcOrd="1" destOrd="0" presId="urn:microsoft.com/office/officeart/2005/8/layout/hChevron3"/>
    <dgm:cxn modelId="{885B197C-CEA4-46D8-9416-FAB9AAF01AEE}" type="presParOf" srcId="{4534B863-448C-4D8A-ADBF-9DCC9357D764}" destId="{87429B99-3E1E-41F5-A4E2-FB866021F0BE}" srcOrd="2" destOrd="0" presId="urn:microsoft.com/office/officeart/2005/8/layout/hChevron3"/>
    <dgm:cxn modelId="{F0998707-86D1-4A4E-B168-F151FC430747}" type="presParOf" srcId="{4534B863-448C-4D8A-ADBF-9DCC9357D764}" destId="{97DD233A-F8A1-41F0-9791-51A108433064}" srcOrd="3" destOrd="0" presId="urn:microsoft.com/office/officeart/2005/8/layout/hChevron3"/>
    <dgm:cxn modelId="{093BFD4E-3C1A-4BF7-8381-CCEE999D9C1E}" type="presParOf" srcId="{4534B863-448C-4D8A-ADBF-9DCC9357D764}" destId="{902D726C-67F7-4407-91A7-222C93DB0298}" srcOrd="4" destOrd="0" presId="urn:microsoft.com/office/officeart/2005/8/layout/hChevron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28A9C8-D0D4-4D7C-94AA-88076E4D6BF7}">
      <dsp:nvSpPr>
        <dsp:cNvPr id="0" name=""/>
        <dsp:cNvSpPr/>
      </dsp:nvSpPr>
      <dsp:spPr>
        <a:xfrm>
          <a:off x="2411" y="1178540"/>
          <a:ext cx="2108299" cy="843319"/>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56007" rIns="28004" bIns="56007" numCol="1" spcCol="1270" anchor="ctr" anchorCtr="0">
          <a:noAutofit/>
        </a:bodyPr>
        <a:lstStyle/>
        <a:p>
          <a:pPr marL="0" lvl="0" indent="0" algn="ctr" defTabSz="933450">
            <a:lnSpc>
              <a:spcPct val="90000"/>
            </a:lnSpc>
            <a:spcBef>
              <a:spcPct val="0"/>
            </a:spcBef>
            <a:spcAft>
              <a:spcPct val="35000"/>
            </a:spcAft>
            <a:buNone/>
          </a:pPr>
          <a:r>
            <a:rPr lang="en-US" sz="2100" kern="1200"/>
            <a:t>Attune</a:t>
          </a:r>
        </a:p>
      </dsp:txBody>
      <dsp:txXfrm>
        <a:off x="2411" y="1178540"/>
        <a:ext cx="1897469" cy="843319"/>
      </dsp:txXfrm>
    </dsp:sp>
    <dsp:sp modelId="{87429B99-3E1E-41F5-A4E2-FB866021F0BE}">
      <dsp:nvSpPr>
        <dsp:cNvPr id="0" name=""/>
        <dsp:cNvSpPr/>
      </dsp:nvSpPr>
      <dsp:spPr>
        <a:xfrm>
          <a:off x="1689050" y="1178540"/>
          <a:ext cx="2108299" cy="843319"/>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56007" rIns="28004" bIns="56007" numCol="1" spcCol="1270" anchor="ctr" anchorCtr="0">
          <a:noAutofit/>
        </a:bodyPr>
        <a:lstStyle/>
        <a:p>
          <a:pPr marL="0" lvl="0" indent="0" algn="ctr" defTabSz="933450">
            <a:lnSpc>
              <a:spcPct val="90000"/>
            </a:lnSpc>
            <a:spcBef>
              <a:spcPct val="0"/>
            </a:spcBef>
            <a:spcAft>
              <a:spcPct val="35000"/>
            </a:spcAft>
            <a:buNone/>
          </a:pPr>
          <a:r>
            <a:rPr lang="en-US" sz="2100" kern="1200"/>
            <a:t>Validate</a:t>
          </a:r>
        </a:p>
      </dsp:txBody>
      <dsp:txXfrm>
        <a:off x="2110710" y="1178540"/>
        <a:ext cx="1264980" cy="843319"/>
      </dsp:txXfrm>
    </dsp:sp>
    <dsp:sp modelId="{902D726C-67F7-4407-91A7-222C93DB0298}">
      <dsp:nvSpPr>
        <dsp:cNvPr id="0" name=""/>
        <dsp:cNvSpPr/>
      </dsp:nvSpPr>
      <dsp:spPr>
        <a:xfrm>
          <a:off x="3375689" y="1178540"/>
          <a:ext cx="2108299" cy="843319"/>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56007" rIns="28004" bIns="56007" numCol="1" spcCol="1270" anchor="ctr" anchorCtr="0">
          <a:noAutofit/>
        </a:bodyPr>
        <a:lstStyle/>
        <a:p>
          <a:pPr marL="0" lvl="0" indent="0" algn="ctr" defTabSz="933450">
            <a:lnSpc>
              <a:spcPct val="90000"/>
            </a:lnSpc>
            <a:spcBef>
              <a:spcPct val="0"/>
            </a:spcBef>
            <a:spcAft>
              <a:spcPct val="35000"/>
            </a:spcAft>
            <a:buNone/>
          </a:pPr>
          <a:r>
            <a:rPr lang="en-US" sz="2100" kern="1200"/>
            <a:t>Sooth and contain</a:t>
          </a:r>
        </a:p>
      </dsp:txBody>
      <dsp:txXfrm>
        <a:off x="3797349" y="1178540"/>
        <a:ext cx="1264980" cy="84331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Tony.Sammon - SCH.662</dc:creator>
  <cp:keywords/>
  <dc:description/>
  <cp:lastModifiedBy>Tony.Sammon - SCH.662</cp:lastModifiedBy>
  <cp:revision>2</cp:revision>
  <dcterms:created xsi:type="dcterms:W3CDTF">2018-03-23T07:27:00Z</dcterms:created>
  <dcterms:modified xsi:type="dcterms:W3CDTF">2018-04-11T09:15:00Z</dcterms:modified>
</cp:coreProperties>
</file>