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FC695" w14:textId="15BA8548" w:rsidR="00A211FE" w:rsidRDefault="00A211FE" w:rsidP="00A211FE">
      <w:pPr>
        <w:jc w:val="center"/>
        <w:rPr>
          <w:b/>
          <w:sz w:val="32"/>
          <w:szCs w:val="32"/>
        </w:rPr>
      </w:pPr>
      <w:r>
        <w:rPr>
          <w:b/>
          <w:noProof/>
          <w:sz w:val="32"/>
          <w:szCs w:val="32"/>
          <w:lang w:eastAsia="en-GB"/>
        </w:rPr>
        <w:drawing>
          <wp:inline distT="0" distB="0" distL="0" distR="0" wp14:anchorId="2F97CF15" wp14:editId="49BE71BA">
            <wp:extent cx="2488589" cy="67246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r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97977" cy="675002"/>
                    </a:xfrm>
                    <a:prstGeom prst="rect">
                      <a:avLst/>
                    </a:prstGeom>
                  </pic:spPr>
                </pic:pic>
              </a:graphicData>
            </a:graphic>
          </wp:inline>
        </w:drawing>
      </w:r>
    </w:p>
    <w:p w14:paraId="5D385DA8" w14:textId="77777777" w:rsidR="00A211FE" w:rsidRDefault="00A211FE" w:rsidP="006E661F">
      <w:pPr>
        <w:rPr>
          <w:b/>
          <w:sz w:val="32"/>
          <w:szCs w:val="32"/>
        </w:rPr>
      </w:pPr>
    </w:p>
    <w:p w14:paraId="4542B029" w14:textId="5916DD65" w:rsidR="006E661F" w:rsidRPr="004B5C8E" w:rsidRDefault="006E661F" w:rsidP="006E661F">
      <w:pPr>
        <w:rPr>
          <w:b/>
          <w:sz w:val="32"/>
          <w:szCs w:val="32"/>
        </w:rPr>
      </w:pPr>
      <w:r w:rsidRPr="004B5C8E">
        <w:rPr>
          <w:b/>
          <w:sz w:val="32"/>
          <w:szCs w:val="32"/>
        </w:rPr>
        <w:t>Pupil Premium Statement</w:t>
      </w:r>
    </w:p>
    <w:p w14:paraId="2A6CFED8" w14:textId="77777777" w:rsidR="006E661F" w:rsidRPr="00A211FE" w:rsidRDefault="006E661F" w:rsidP="006E661F">
      <w:pPr>
        <w:rPr>
          <w:sz w:val="24"/>
          <w:szCs w:val="24"/>
        </w:rPr>
      </w:pPr>
      <w:r w:rsidRPr="00A211FE">
        <w:rPr>
          <w:sz w:val="24"/>
          <w:szCs w:val="24"/>
        </w:rPr>
        <w:t xml:space="preserve">As a PRU the arrangements for transfer of Pupil Premium from mainstream school are complex. We do not receive funding for Medical Pupils as this is retained by the school. If extra provision is needed for an individual pupil we put this into a partnership plan and invoice the school for pupil premium in this way. </w:t>
      </w:r>
    </w:p>
    <w:p w14:paraId="3279782A" w14:textId="77777777" w:rsidR="006E661F" w:rsidRPr="00A211FE" w:rsidRDefault="006E661F" w:rsidP="006E661F">
      <w:pPr>
        <w:rPr>
          <w:sz w:val="24"/>
          <w:szCs w:val="24"/>
        </w:rPr>
      </w:pPr>
      <w:r w:rsidRPr="00A211FE">
        <w:rPr>
          <w:sz w:val="24"/>
          <w:szCs w:val="24"/>
        </w:rPr>
        <w:t xml:space="preserve">For pupils who attend </w:t>
      </w:r>
      <w:r w:rsidR="004B5C8E" w:rsidRPr="00A211FE">
        <w:rPr>
          <w:sz w:val="24"/>
          <w:szCs w:val="24"/>
        </w:rPr>
        <w:t>in</w:t>
      </w:r>
      <w:r w:rsidRPr="00A211FE">
        <w:rPr>
          <w:sz w:val="24"/>
          <w:szCs w:val="24"/>
        </w:rPr>
        <w:t xml:space="preserve"> Key Stage 4</w:t>
      </w:r>
      <w:r w:rsidR="004B5C8E" w:rsidRPr="00A211FE">
        <w:rPr>
          <w:sz w:val="24"/>
          <w:szCs w:val="24"/>
        </w:rPr>
        <w:t xml:space="preserve"> </w:t>
      </w:r>
      <w:r w:rsidRPr="00A211FE">
        <w:rPr>
          <w:sz w:val="24"/>
          <w:szCs w:val="24"/>
        </w:rPr>
        <w:t>due to a permanent exclusion, the money has historically followed the pupil but there has been a delay in receiving this money from the Local Authority and it only usually arrives after they leave in year 11. This makes planning of provision difficult and we have had to estimate the levels of funding and plan forward.</w:t>
      </w:r>
    </w:p>
    <w:p w14:paraId="7903B8F9" w14:textId="77777777" w:rsidR="006E661F" w:rsidRPr="00A211FE" w:rsidRDefault="006E661F" w:rsidP="006E661F">
      <w:pPr>
        <w:rPr>
          <w:sz w:val="24"/>
          <w:szCs w:val="24"/>
        </w:rPr>
      </w:pPr>
      <w:r w:rsidRPr="00A211FE">
        <w:rPr>
          <w:sz w:val="24"/>
          <w:szCs w:val="24"/>
        </w:rPr>
        <w:t>Due to the small numbers of pupils attending our provision, using percentages is not statistically significant, but these have been provided below in both number and percentage form to give a guide.</w:t>
      </w:r>
    </w:p>
    <w:p w14:paraId="7DE5BA96" w14:textId="193D28E9" w:rsidR="006E661F" w:rsidRPr="00A211FE" w:rsidRDefault="006E661F" w:rsidP="006E661F">
      <w:pPr>
        <w:rPr>
          <w:b/>
          <w:sz w:val="24"/>
          <w:szCs w:val="24"/>
        </w:rPr>
      </w:pPr>
      <w:r w:rsidRPr="00A211FE">
        <w:rPr>
          <w:b/>
          <w:sz w:val="24"/>
          <w:szCs w:val="24"/>
        </w:rPr>
        <w:t>Pupil Premium numbers as at September 2019</w:t>
      </w:r>
    </w:p>
    <w:p w14:paraId="713419CE" w14:textId="77777777" w:rsidR="006E661F" w:rsidRPr="00A211FE" w:rsidRDefault="006E661F" w:rsidP="004B5C8E">
      <w:pPr>
        <w:pStyle w:val="ListParagraph"/>
        <w:numPr>
          <w:ilvl w:val="0"/>
          <w:numId w:val="1"/>
        </w:numPr>
        <w:rPr>
          <w:sz w:val="24"/>
          <w:szCs w:val="24"/>
        </w:rPr>
      </w:pPr>
      <w:r w:rsidRPr="00A211FE">
        <w:rPr>
          <w:sz w:val="24"/>
          <w:szCs w:val="24"/>
        </w:rPr>
        <w:t>Currently on roll: 27</w:t>
      </w:r>
    </w:p>
    <w:p w14:paraId="76CEE3DA" w14:textId="77777777" w:rsidR="006E661F" w:rsidRPr="00A211FE" w:rsidRDefault="006E661F" w:rsidP="004B5C8E">
      <w:pPr>
        <w:pStyle w:val="ListParagraph"/>
        <w:numPr>
          <w:ilvl w:val="0"/>
          <w:numId w:val="1"/>
        </w:numPr>
        <w:rPr>
          <w:sz w:val="24"/>
          <w:szCs w:val="24"/>
        </w:rPr>
      </w:pPr>
      <w:r w:rsidRPr="00A211FE">
        <w:rPr>
          <w:sz w:val="24"/>
          <w:szCs w:val="24"/>
        </w:rPr>
        <w:t>Number Pupil premium: 16</w:t>
      </w:r>
    </w:p>
    <w:p w14:paraId="7A081150" w14:textId="77777777" w:rsidR="006E661F" w:rsidRPr="00A211FE" w:rsidRDefault="006E661F" w:rsidP="004B5C8E">
      <w:pPr>
        <w:pStyle w:val="ListParagraph"/>
        <w:numPr>
          <w:ilvl w:val="0"/>
          <w:numId w:val="1"/>
        </w:numPr>
        <w:rPr>
          <w:sz w:val="24"/>
          <w:szCs w:val="24"/>
        </w:rPr>
      </w:pPr>
      <w:r w:rsidRPr="00A211FE">
        <w:rPr>
          <w:sz w:val="24"/>
          <w:szCs w:val="24"/>
        </w:rPr>
        <w:t>Percentage of roll: 59%</w:t>
      </w:r>
    </w:p>
    <w:p w14:paraId="228D124A" w14:textId="77777777" w:rsidR="006E661F" w:rsidRPr="00A211FE" w:rsidRDefault="006E661F" w:rsidP="004B5C8E">
      <w:pPr>
        <w:pStyle w:val="ListParagraph"/>
        <w:numPr>
          <w:ilvl w:val="0"/>
          <w:numId w:val="1"/>
        </w:numPr>
        <w:rPr>
          <w:sz w:val="24"/>
          <w:szCs w:val="24"/>
        </w:rPr>
      </w:pPr>
      <w:r w:rsidRPr="00A211FE">
        <w:rPr>
          <w:sz w:val="24"/>
          <w:szCs w:val="24"/>
        </w:rPr>
        <w:t>Number of whom are sole registered – 7</w:t>
      </w:r>
    </w:p>
    <w:p w14:paraId="33997320" w14:textId="6C692855" w:rsidR="006E661F" w:rsidRPr="00A211FE" w:rsidRDefault="006E661F" w:rsidP="006E661F">
      <w:pPr>
        <w:pStyle w:val="ListParagraph"/>
        <w:numPr>
          <w:ilvl w:val="0"/>
          <w:numId w:val="1"/>
        </w:numPr>
        <w:rPr>
          <w:sz w:val="24"/>
          <w:szCs w:val="24"/>
        </w:rPr>
      </w:pPr>
      <w:r w:rsidRPr="00A211FE">
        <w:rPr>
          <w:sz w:val="24"/>
          <w:szCs w:val="24"/>
        </w:rPr>
        <w:t xml:space="preserve">Percentage of roll: </w:t>
      </w:r>
      <w:r w:rsidR="004B5C8E" w:rsidRPr="00A211FE">
        <w:rPr>
          <w:sz w:val="24"/>
          <w:szCs w:val="24"/>
        </w:rPr>
        <w:t>26%</w:t>
      </w:r>
    </w:p>
    <w:p w14:paraId="20E257F0" w14:textId="77777777" w:rsidR="006E661F" w:rsidRPr="00A211FE" w:rsidRDefault="006E661F" w:rsidP="006E661F">
      <w:pPr>
        <w:rPr>
          <w:sz w:val="24"/>
          <w:szCs w:val="24"/>
        </w:rPr>
      </w:pPr>
      <w:r w:rsidRPr="00A211FE">
        <w:rPr>
          <w:sz w:val="24"/>
          <w:szCs w:val="24"/>
        </w:rPr>
        <w:t>Statistically there is no gap between the pupils eligible for pupil premium and others regarding their achievement, engagement or attendance</w:t>
      </w:r>
    </w:p>
    <w:p w14:paraId="26544657" w14:textId="5D8684AD" w:rsidR="006E661F" w:rsidRPr="00A211FE" w:rsidRDefault="006E661F" w:rsidP="006E661F">
      <w:pPr>
        <w:rPr>
          <w:b/>
          <w:sz w:val="24"/>
          <w:szCs w:val="24"/>
        </w:rPr>
      </w:pPr>
      <w:r w:rsidRPr="00A211FE">
        <w:rPr>
          <w:b/>
          <w:sz w:val="24"/>
          <w:szCs w:val="24"/>
        </w:rPr>
        <w:t>Uses of Funding</w:t>
      </w:r>
    </w:p>
    <w:p w14:paraId="36F9C831" w14:textId="0EF18176" w:rsidR="00A211FE" w:rsidRPr="00A211FE" w:rsidRDefault="006E661F" w:rsidP="006E661F">
      <w:pPr>
        <w:rPr>
          <w:b/>
          <w:i/>
          <w:sz w:val="24"/>
          <w:szCs w:val="24"/>
        </w:rPr>
      </w:pPr>
      <w:r w:rsidRPr="00A211FE">
        <w:rPr>
          <w:b/>
          <w:i/>
          <w:sz w:val="24"/>
          <w:szCs w:val="24"/>
        </w:rPr>
        <w:t>Intervention</w:t>
      </w:r>
      <w:r w:rsidR="004B5C8E" w:rsidRPr="00A211FE">
        <w:rPr>
          <w:b/>
          <w:i/>
          <w:sz w:val="24"/>
          <w:szCs w:val="24"/>
        </w:rPr>
        <w:t>-</w:t>
      </w:r>
      <w:r w:rsidRPr="00A211FE">
        <w:rPr>
          <w:b/>
          <w:i/>
          <w:sz w:val="24"/>
          <w:szCs w:val="24"/>
        </w:rPr>
        <w:t xml:space="preserve"> Cost Impact</w:t>
      </w:r>
    </w:p>
    <w:tbl>
      <w:tblPr>
        <w:tblStyle w:val="TableGrid"/>
        <w:tblW w:w="0" w:type="auto"/>
        <w:tblLook w:val="04A0" w:firstRow="1" w:lastRow="0" w:firstColumn="1" w:lastColumn="0" w:noHBand="0" w:noVBand="1"/>
      </w:tblPr>
      <w:tblGrid>
        <w:gridCol w:w="3005"/>
        <w:gridCol w:w="3005"/>
        <w:gridCol w:w="3006"/>
      </w:tblGrid>
      <w:tr w:rsidR="00A211FE" w:rsidRPr="00A211FE" w14:paraId="039C09BD" w14:textId="77777777" w:rsidTr="00A211FE">
        <w:tc>
          <w:tcPr>
            <w:tcW w:w="3005" w:type="dxa"/>
          </w:tcPr>
          <w:p w14:paraId="1D8B655B" w14:textId="1933D198" w:rsidR="00A211FE" w:rsidRPr="00A211FE" w:rsidRDefault="00A211FE" w:rsidP="006E661F">
            <w:pPr>
              <w:rPr>
                <w:b/>
                <w:i/>
                <w:sz w:val="24"/>
                <w:szCs w:val="24"/>
              </w:rPr>
            </w:pPr>
            <w:r w:rsidRPr="00A211FE">
              <w:rPr>
                <w:b/>
                <w:i/>
                <w:sz w:val="24"/>
                <w:szCs w:val="24"/>
              </w:rPr>
              <w:t>Intervention</w:t>
            </w:r>
          </w:p>
        </w:tc>
        <w:tc>
          <w:tcPr>
            <w:tcW w:w="3005" w:type="dxa"/>
          </w:tcPr>
          <w:p w14:paraId="07BC2210" w14:textId="2D0C8BFC" w:rsidR="00A211FE" w:rsidRPr="00A211FE" w:rsidRDefault="00A211FE" w:rsidP="006E661F">
            <w:pPr>
              <w:rPr>
                <w:b/>
                <w:i/>
                <w:sz w:val="24"/>
                <w:szCs w:val="24"/>
              </w:rPr>
            </w:pPr>
            <w:r w:rsidRPr="00A211FE">
              <w:rPr>
                <w:b/>
                <w:i/>
                <w:sz w:val="24"/>
                <w:szCs w:val="24"/>
              </w:rPr>
              <w:t>Cost</w:t>
            </w:r>
          </w:p>
        </w:tc>
        <w:tc>
          <w:tcPr>
            <w:tcW w:w="3006" w:type="dxa"/>
          </w:tcPr>
          <w:p w14:paraId="577376A9" w14:textId="584A291A" w:rsidR="00A211FE" w:rsidRPr="00A211FE" w:rsidRDefault="00A211FE" w:rsidP="006E661F">
            <w:pPr>
              <w:rPr>
                <w:b/>
                <w:i/>
                <w:sz w:val="24"/>
                <w:szCs w:val="24"/>
              </w:rPr>
            </w:pPr>
            <w:r w:rsidRPr="00A211FE">
              <w:rPr>
                <w:b/>
                <w:i/>
                <w:sz w:val="24"/>
                <w:szCs w:val="24"/>
              </w:rPr>
              <w:t>Impact</w:t>
            </w:r>
          </w:p>
        </w:tc>
      </w:tr>
      <w:tr w:rsidR="00A211FE" w:rsidRPr="00A211FE" w14:paraId="7DCF54FB" w14:textId="77777777" w:rsidTr="00A211FE">
        <w:tc>
          <w:tcPr>
            <w:tcW w:w="3005" w:type="dxa"/>
          </w:tcPr>
          <w:p w14:paraId="03DD316D" w14:textId="093D6E5D" w:rsidR="00A211FE" w:rsidRPr="00A211FE" w:rsidRDefault="00A211FE" w:rsidP="006E661F">
            <w:pPr>
              <w:rPr>
                <w:sz w:val="24"/>
                <w:szCs w:val="24"/>
              </w:rPr>
            </w:pPr>
            <w:r w:rsidRPr="00A211FE">
              <w:rPr>
                <w:sz w:val="24"/>
                <w:szCs w:val="24"/>
              </w:rPr>
              <w:t>Artist in residence</w:t>
            </w:r>
          </w:p>
        </w:tc>
        <w:tc>
          <w:tcPr>
            <w:tcW w:w="3005" w:type="dxa"/>
          </w:tcPr>
          <w:p w14:paraId="57BDDE2A" w14:textId="4D6A9866" w:rsidR="00A211FE" w:rsidRPr="00A211FE" w:rsidRDefault="00A211FE" w:rsidP="006E661F">
            <w:pPr>
              <w:rPr>
                <w:sz w:val="24"/>
                <w:szCs w:val="24"/>
              </w:rPr>
            </w:pPr>
            <w:r w:rsidRPr="00A211FE">
              <w:rPr>
                <w:sz w:val="24"/>
                <w:szCs w:val="24"/>
              </w:rPr>
              <w:t>£8000</w:t>
            </w:r>
          </w:p>
        </w:tc>
        <w:tc>
          <w:tcPr>
            <w:tcW w:w="3006" w:type="dxa"/>
          </w:tcPr>
          <w:p w14:paraId="5F32A458" w14:textId="77777777" w:rsidR="00A211FE" w:rsidRDefault="00A211FE" w:rsidP="006E661F">
            <w:pPr>
              <w:rPr>
                <w:sz w:val="24"/>
                <w:szCs w:val="24"/>
              </w:rPr>
            </w:pPr>
            <w:r w:rsidRPr="00A211FE">
              <w:rPr>
                <w:sz w:val="24"/>
                <w:szCs w:val="24"/>
              </w:rPr>
              <w:t>Art as therapy to raise self -esteem and allow expression of complex emotions</w:t>
            </w:r>
          </w:p>
          <w:p w14:paraId="2A00DA9C" w14:textId="5A573900" w:rsidR="00A211FE" w:rsidRPr="00A211FE" w:rsidRDefault="00A211FE" w:rsidP="006E661F">
            <w:pPr>
              <w:rPr>
                <w:sz w:val="24"/>
                <w:szCs w:val="24"/>
              </w:rPr>
            </w:pPr>
            <w:bookmarkStart w:id="0" w:name="_GoBack"/>
            <w:bookmarkEnd w:id="0"/>
          </w:p>
        </w:tc>
      </w:tr>
      <w:tr w:rsidR="00A211FE" w:rsidRPr="00A211FE" w14:paraId="43EC70C9" w14:textId="77777777" w:rsidTr="00A211FE">
        <w:tc>
          <w:tcPr>
            <w:tcW w:w="3005" w:type="dxa"/>
          </w:tcPr>
          <w:p w14:paraId="15FC17DF" w14:textId="735CF7CE" w:rsidR="00A211FE" w:rsidRPr="00A211FE" w:rsidRDefault="00A211FE" w:rsidP="006E661F">
            <w:pPr>
              <w:rPr>
                <w:sz w:val="24"/>
                <w:szCs w:val="24"/>
              </w:rPr>
            </w:pPr>
            <w:r w:rsidRPr="00A211FE">
              <w:rPr>
                <w:sz w:val="24"/>
                <w:szCs w:val="24"/>
              </w:rPr>
              <w:t>Reach – Outdoor Education</w:t>
            </w:r>
          </w:p>
        </w:tc>
        <w:tc>
          <w:tcPr>
            <w:tcW w:w="3005" w:type="dxa"/>
          </w:tcPr>
          <w:p w14:paraId="032C9511" w14:textId="6707DB30" w:rsidR="00A211FE" w:rsidRPr="00A211FE" w:rsidRDefault="00A211FE" w:rsidP="006E661F">
            <w:pPr>
              <w:rPr>
                <w:sz w:val="24"/>
                <w:szCs w:val="24"/>
              </w:rPr>
            </w:pPr>
            <w:r w:rsidRPr="00A211FE">
              <w:rPr>
                <w:sz w:val="24"/>
                <w:szCs w:val="24"/>
              </w:rPr>
              <w:t>£4000</w:t>
            </w:r>
          </w:p>
        </w:tc>
        <w:tc>
          <w:tcPr>
            <w:tcW w:w="3006" w:type="dxa"/>
          </w:tcPr>
          <w:p w14:paraId="270370C8" w14:textId="77777777" w:rsidR="00A211FE" w:rsidRPr="00A211FE" w:rsidRDefault="00A211FE" w:rsidP="00A211FE">
            <w:pPr>
              <w:rPr>
                <w:sz w:val="24"/>
                <w:szCs w:val="24"/>
              </w:rPr>
            </w:pPr>
            <w:r w:rsidRPr="00A211FE">
              <w:rPr>
                <w:sz w:val="24"/>
                <w:szCs w:val="24"/>
              </w:rPr>
              <w:t>Various targets all tied up into a learning plan for individual pupils which compliments those in school.</w:t>
            </w:r>
          </w:p>
          <w:p w14:paraId="605F527D" w14:textId="77777777" w:rsidR="00A211FE" w:rsidRPr="00A211FE" w:rsidRDefault="00A211FE" w:rsidP="006E661F">
            <w:pPr>
              <w:rPr>
                <w:sz w:val="24"/>
                <w:szCs w:val="24"/>
              </w:rPr>
            </w:pPr>
          </w:p>
        </w:tc>
      </w:tr>
      <w:tr w:rsidR="00A211FE" w:rsidRPr="00A211FE" w14:paraId="3A29DC8B" w14:textId="77777777" w:rsidTr="00A211FE">
        <w:tc>
          <w:tcPr>
            <w:tcW w:w="3005" w:type="dxa"/>
          </w:tcPr>
          <w:p w14:paraId="60AFA4A9" w14:textId="12E8743C" w:rsidR="00A211FE" w:rsidRPr="00A211FE" w:rsidRDefault="00A211FE" w:rsidP="006E661F">
            <w:pPr>
              <w:rPr>
                <w:sz w:val="24"/>
                <w:szCs w:val="24"/>
              </w:rPr>
            </w:pPr>
            <w:r w:rsidRPr="00A211FE">
              <w:rPr>
                <w:sz w:val="24"/>
                <w:szCs w:val="24"/>
              </w:rPr>
              <w:t>Ceramics Workshops</w:t>
            </w:r>
          </w:p>
        </w:tc>
        <w:tc>
          <w:tcPr>
            <w:tcW w:w="3005" w:type="dxa"/>
          </w:tcPr>
          <w:p w14:paraId="4D4CD8D6" w14:textId="6F421A47" w:rsidR="00A211FE" w:rsidRPr="00A211FE" w:rsidRDefault="00A211FE" w:rsidP="006E661F">
            <w:pPr>
              <w:rPr>
                <w:sz w:val="24"/>
                <w:szCs w:val="24"/>
              </w:rPr>
            </w:pPr>
            <w:r w:rsidRPr="00A211FE">
              <w:rPr>
                <w:sz w:val="24"/>
                <w:szCs w:val="24"/>
              </w:rPr>
              <w:t>£2000</w:t>
            </w:r>
          </w:p>
        </w:tc>
        <w:tc>
          <w:tcPr>
            <w:tcW w:w="3006" w:type="dxa"/>
          </w:tcPr>
          <w:p w14:paraId="2DAAF255" w14:textId="77777777" w:rsidR="00A211FE" w:rsidRPr="00A211FE" w:rsidRDefault="00A211FE" w:rsidP="00A211FE">
            <w:pPr>
              <w:rPr>
                <w:sz w:val="24"/>
                <w:szCs w:val="24"/>
              </w:rPr>
            </w:pPr>
            <w:r w:rsidRPr="00A211FE">
              <w:rPr>
                <w:sz w:val="24"/>
                <w:szCs w:val="24"/>
              </w:rPr>
              <w:t>Raising of confidence and self-expression</w:t>
            </w:r>
          </w:p>
          <w:p w14:paraId="182763BC" w14:textId="77777777" w:rsidR="00A211FE" w:rsidRPr="00A211FE" w:rsidRDefault="00A211FE" w:rsidP="006E661F">
            <w:pPr>
              <w:rPr>
                <w:sz w:val="24"/>
                <w:szCs w:val="24"/>
              </w:rPr>
            </w:pPr>
          </w:p>
        </w:tc>
      </w:tr>
      <w:tr w:rsidR="00A211FE" w:rsidRPr="00A211FE" w14:paraId="3C0CD780" w14:textId="77777777" w:rsidTr="00A211FE">
        <w:tc>
          <w:tcPr>
            <w:tcW w:w="3005" w:type="dxa"/>
          </w:tcPr>
          <w:p w14:paraId="72FE91A4" w14:textId="7FC64226" w:rsidR="00A211FE" w:rsidRPr="00A211FE" w:rsidRDefault="00A211FE" w:rsidP="006E661F">
            <w:pPr>
              <w:rPr>
                <w:sz w:val="24"/>
                <w:szCs w:val="24"/>
              </w:rPr>
            </w:pPr>
            <w:r w:rsidRPr="00A211FE">
              <w:rPr>
                <w:sz w:val="24"/>
                <w:szCs w:val="24"/>
              </w:rPr>
              <w:t>1:1 Tuition in Maths/ English</w:t>
            </w:r>
          </w:p>
        </w:tc>
        <w:tc>
          <w:tcPr>
            <w:tcW w:w="3005" w:type="dxa"/>
          </w:tcPr>
          <w:p w14:paraId="2B2635EB" w14:textId="6185F34A" w:rsidR="00A211FE" w:rsidRPr="00A211FE" w:rsidRDefault="00A211FE" w:rsidP="006E661F">
            <w:pPr>
              <w:rPr>
                <w:sz w:val="24"/>
                <w:szCs w:val="24"/>
              </w:rPr>
            </w:pPr>
            <w:r w:rsidRPr="00A211FE">
              <w:rPr>
                <w:sz w:val="24"/>
                <w:szCs w:val="24"/>
              </w:rPr>
              <w:t>£4600</w:t>
            </w:r>
          </w:p>
        </w:tc>
        <w:tc>
          <w:tcPr>
            <w:tcW w:w="3006" w:type="dxa"/>
          </w:tcPr>
          <w:p w14:paraId="22AF20F9" w14:textId="77777777" w:rsidR="00A211FE" w:rsidRPr="00A211FE" w:rsidRDefault="00A211FE" w:rsidP="00A211FE">
            <w:pPr>
              <w:rPr>
                <w:sz w:val="24"/>
                <w:szCs w:val="24"/>
              </w:rPr>
            </w:pPr>
            <w:r w:rsidRPr="00A211FE">
              <w:rPr>
                <w:sz w:val="24"/>
                <w:szCs w:val="24"/>
              </w:rPr>
              <w:t>Raising of attainment and levels of progress</w:t>
            </w:r>
          </w:p>
          <w:p w14:paraId="73EF3D3A" w14:textId="77777777" w:rsidR="00A211FE" w:rsidRPr="00A211FE" w:rsidRDefault="00A211FE" w:rsidP="006E661F">
            <w:pPr>
              <w:rPr>
                <w:sz w:val="24"/>
                <w:szCs w:val="24"/>
              </w:rPr>
            </w:pPr>
          </w:p>
        </w:tc>
      </w:tr>
      <w:tr w:rsidR="00A211FE" w:rsidRPr="00A211FE" w14:paraId="5FBE2B99" w14:textId="77777777" w:rsidTr="00A211FE">
        <w:tc>
          <w:tcPr>
            <w:tcW w:w="3005" w:type="dxa"/>
          </w:tcPr>
          <w:p w14:paraId="53B42609" w14:textId="295E4695" w:rsidR="00A211FE" w:rsidRPr="00A211FE" w:rsidRDefault="00A211FE" w:rsidP="006E661F">
            <w:pPr>
              <w:rPr>
                <w:sz w:val="24"/>
                <w:szCs w:val="24"/>
              </w:rPr>
            </w:pPr>
            <w:r w:rsidRPr="00A211FE">
              <w:rPr>
                <w:sz w:val="24"/>
                <w:szCs w:val="24"/>
              </w:rPr>
              <w:t>Forest School</w:t>
            </w:r>
          </w:p>
        </w:tc>
        <w:tc>
          <w:tcPr>
            <w:tcW w:w="3005" w:type="dxa"/>
          </w:tcPr>
          <w:p w14:paraId="41240D9F" w14:textId="6FCA49EA" w:rsidR="00A211FE" w:rsidRPr="00A211FE" w:rsidRDefault="00A211FE" w:rsidP="006E661F">
            <w:pPr>
              <w:rPr>
                <w:sz w:val="24"/>
                <w:szCs w:val="24"/>
              </w:rPr>
            </w:pPr>
            <w:r w:rsidRPr="00A211FE">
              <w:rPr>
                <w:sz w:val="24"/>
                <w:szCs w:val="24"/>
              </w:rPr>
              <w:t>£4000</w:t>
            </w:r>
          </w:p>
        </w:tc>
        <w:tc>
          <w:tcPr>
            <w:tcW w:w="3006" w:type="dxa"/>
          </w:tcPr>
          <w:p w14:paraId="37463CDC" w14:textId="452ED55E" w:rsidR="00A211FE" w:rsidRPr="00A211FE" w:rsidRDefault="00A211FE" w:rsidP="00A211FE">
            <w:pPr>
              <w:rPr>
                <w:sz w:val="24"/>
                <w:szCs w:val="24"/>
              </w:rPr>
            </w:pPr>
            <w:r w:rsidRPr="00A211FE">
              <w:rPr>
                <w:sz w:val="24"/>
                <w:szCs w:val="24"/>
              </w:rPr>
              <w:t>Various targets all tied up into a learning plan for individual pupils wh</w:t>
            </w:r>
            <w:r w:rsidRPr="00A211FE">
              <w:rPr>
                <w:sz w:val="24"/>
                <w:szCs w:val="24"/>
              </w:rPr>
              <w:t>ich compliments those in school</w:t>
            </w:r>
          </w:p>
          <w:p w14:paraId="1F2B6B40" w14:textId="77777777" w:rsidR="00A211FE" w:rsidRPr="00A211FE" w:rsidRDefault="00A211FE" w:rsidP="006E661F">
            <w:pPr>
              <w:rPr>
                <w:sz w:val="24"/>
                <w:szCs w:val="24"/>
              </w:rPr>
            </w:pPr>
          </w:p>
        </w:tc>
      </w:tr>
      <w:tr w:rsidR="00A211FE" w:rsidRPr="00A211FE" w14:paraId="65523DFF" w14:textId="77777777" w:rsidTr="00A211FE">
        <w:tc>
          <w:tcPr>
            <w:tcW w:w="3005" w:type="dxa"/>
          </w:tcPr>
          <w:p w14:paraId="37F91B65" w14:textId="46D1D359" w:rsidR="00A211FE" w:rsidRPr="00A211FE" w:rsidRDefault="00A211FE" w:rsidP="006E661F">
            <w:pPr>
              <w:rPr>
                <w:sz w:val="24"/>
                <w:szCs w:val="24"/>
              </w:rPr>
            </w:pPr>
            <w:r w:rsidRPr="00A211FE">
              <w:rPr>
                <w:sz w:val="24"/>
                <w:szCs w:val="24"/>
              </w:rPr>
              <w:t>Clothing</w:t>
            </w:r>
          </w:p>
        </w:tc>
        <w:tc>
          <w:tcPr>
            <w:tcW w:w="3005" w:type="dxa"/>
          </w:tcPr>
          <w:p w14:paraId="6A9CCBFA" w14:textId="598B00AD" w:rsidR="00A211FE" w:rsidRPr="00A211FE" w:rsidRDefault="00A211FE" w:rsidP="006E661F">
            <w:pPr>
              <w:rPr>
                <w:sz w:val="24"/>
                <w:szCs w:val="24"/>
              </w:rPr>
            </w:pPr>
            <w:r w:rsidRPr="00A211FE">
              <w:rPr>
                <w:sz w:val="24"/>
                <w:szCs w:val="24"/>
              </w:rPr>
              <w:t>£400</w:t>
            </w:r>
          </w:p>
        </w:tc>
        <w:tc>
          <w:tcPr>
            <w:tcW w:w="3006" w:type="dxa"/>
          </w:tcPr>
          <w:p w14:paraId="1BBD9FF8" w14:textId="1A768B14" w:rsidR="00A211FE" w:rsidRPr="00A211FE" w:rsidRDefault="00A211FE" w:rsidP="00A211FE">
            <w:pPr>
              <w:rPr>
                <w:sz w:val="24"/>
                <w:szCs w:val="24"/>
              </w:rPr>
            </w:pPr>
            <w:r w:rsidRPr="00A211FE">
              <w:rPr>
                <w:sz w:val="24"/>
                <w:szCs w:val="24"/>
              </w:rPr>
              <w:t xml:space="preserve">Clothing provided for those pupils who were coming to school dressed in inappropriate clothing leading to lower self-esteem. </w:t>
            </w:r>
            <w:r w:rsidRPr="00A211FE">
              <w:rPr>
                <w:sz w:val="24"/>
                <w:szCs w:val="24"/>
              </w:rPr>
              <w:t>Self-esteem</w:t>
            </w:r>
            <w:r w:rsidRPr="00A211FE">
              <w:rPr>
                <w:sz w:val="24"/>
                <w:szCs w:val="24"/>
              </w:rPr>
              <w:t xml:space="preserve"> and confidence raised as well as an awarene</w:t>
            </w:r>
            <w:r w:rsidRPr="00A211FE">
              <w:rPr>
                <w:sz w:val="24"/>
                <w:szCs w:val="24"/>
              </w:rPr>
              <w:t>ss that people cared about them</w:t>
            </w:r>
          </w:p>
          <w:p w14:paraId="1C4A314E" w14:textId="77777777" w:rsidR="00A211FE" w:rsidRPr="00A211FE" w:rsidRDefault="00A211FE" w:rsidP="00A211FE">
            <w:pPr>
              <w:rPr>
                <w:sz w:val="24"/>
                <w:szCs w:val="24"/>
              </w:rPr>
            </w:pPr>
          </w:p>
        </w:tc>
      </w:tr>
    </w:tbl>
    <w:p w14:paraId="3BBDD7CB" w14:textId="77777777" w:rsidR="00A211FE" w:rsidRPr="00A211FE" w:rsidRDefault="00A211FE" w:rsidP="006E661F">
      <w:pPr>
        <w:rPr>
          <w:sz w:val="24"/>
          <w:szCs w:val="24"/>
        </w:rPr>
      </w:pPr>
    </w:p>
    <w:sectPr w:rsidR="00A211FE" w:rsidRPr="00A211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E92E39"/>
    <w:multiLevelType w:val="hybridMultilevel"/>
    <w:tmpl w:val="025A8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61F"/>
    <w:rsid w:val="004B5C8E"/>
    <w:rsid w:val="00676140"/>
    <w:rsid w:val="006E661F"/>
    <w:rsid w:val="00A211FE"/>
    <w:rsid w:val="00A31B98"/>
    <w:rsid w:val="00EF4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3C5E9"/>
  <w15:chartTrackingRefBased/>
  <w15:docId w15:val="{7AAE3244-4C3C-4906-81D0-CE2F5372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C8E"/>
    <w:pPr>
      <w:ind w:left="720"/>
      <w:contextualSpacing/>
    </w:pPr>
  </w:style>
  <w:style w:type="table" w:styleId="TableGrid">
    <w:name w:val="Table Grid"/>
    <w:basedOn w:val="TableNormal"/>
    <w:uiPriority w:val="39"/>
    <w:rsid w:val="00A21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Tony.Sammon - SCH.662</dc:creator>
  <cp:keywords/>
  <dc:description/>
  <cp:lastModifiedBy>Mandy Ramsey</cp:lastModifiedBy>
  <cp:revision>3</cp:revision>
  <dcterms:created xsi:type="dcterms:W3CDTF">2019-10-07T12:01:00Z</dcterms:created>
  <dcterms:modified xsi:type="dcterms:W3CDTF">2019-10-07T12:10:00Z</dcterms:modified>
</cp:coreProperties>
</file>