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noProof/>
        </w:rPr>
        <w:id w:val="-794670729"/>
        <w:docPartObj>
          <w:docPartGallery w:val="Cover Pages"/>
          <w:docPartUnique/>
        </w:docPartObj>
      </w:sdtPr>
      <w:sdtEndPr>
        <w:rPr>
          <w:rFonts w:eastAsiaTheme="majorEastAsia"/>
          <w:noProof w:val="0"/>
          <w:color w:val="000000" w:themeColor="text1"/>
          <w:sz w:val="96"/>
          <w:szCs w:val="80"/>
          <w:lang w:eastAsia="ja-JP"/>
        </w:rPr>
      </w:sdtEndPr>
      <w:sdtContent>
        <w:p w14:paraId="5962591A" w14:textId="392C6AB0" w:rsidR="00EE024B" w:rsidRDefault="00AA0B75" w:rsidP="00D67C4E">
          <w:pPr>
            <w:rPr>
              <w:rFonts w:ascii="Arial" w:eastAsiaTheme="majorEastAsia" w:hAnsi="Arial" w:cs="Arial"/>
              <w:color w:val="000000" w:themeColor="text1"/>
              <w:sz w:val="96"/>
              <w:szCs w:val="80"/>
              <w:lang w:eastAsia="ja-JP"/>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347FEC53" wp14:editId="2A99F5A9">
                    <wp:simplePos x="0" y="0"/>
                    <wp:positionH relativeFrom="column">
                      <wp:posOffset>-344384</wp:posOffset>
                    </wp:positionH>
                    <wp:positionV relativeFrom="paragraph">
                      <wp:posOffset>-605642</wp:posOffset>
                    </wp:positionV>
                    <wp:extent cx="6598804" cy="10058400"/>
                    <wp:effectExtent l="19050" t="19050" r="31115" b="38100"/>
                    <wp:wrapNone/>
                    <wp:docPr id="14" name="Rectangle 14"/>
                    <wp:cNvGraphicFramePr/>
                    <a:graphic xmlns:a="http://schemas.openxmlformats.org/drawingml/2006/main">
                      <a:graphicData uri="http://schemas.microsoft.com/office/word/2010/wordprocessingShape">
                        <wps:wsp>
                          <wps:cNvSpPr/>
                          <wps:spPr>
                            <a:xfrm>
                              <a:off x="0" y="0"/>
                              <a:ext cx="6598804" cy="10058400"/>
                            </a:xfrm>
                            <a:prstGeom prst="rect">
                              <a:avLst/>
                            </a:prstGeom>
                            <a:noFill/>
                            <a:ln w="57150">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4" style="position:absolute;margin-left:-27.1pt;margin-top:-47.7pt;width:519.6pt;height:1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347186" strokeweight="4.5pt" w14:anchorId="1CDB27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"/>
                </w:pict>
              </mc:Fallback>
            </mc:AlternateContent>
          </w:r>
        </w:p>
      </w:sdtContent>
    </w:sdt>
    <w:p w14:paraId="2D013182" w14:textId="6705C61A" w:rsidR="000C07AC" w:rsidRPr="000C07AC" w:rsidRDefault="003F3F3D" w:rsidP="00D67C4E">
      <w:pPr>
        <w:rPr>
          <w:rFonts w:ascii="Arial" w:eastAsiaTheme="majorEastAsia" w:hAnsi="Arial" w:cs="Arial"/>
          <w:color w:val="FFD006"/>
          <w:sz w:val="96"/>
          <w:szCs w:val="80"/>
          <w:lang w:eastAsia="ja-JP"/>
        </w:rPr>
      </w:pPr>
      <w:r>
        <w:rPr>
          <w:noProof/>
          <w:lang w:eastAsia="en-GB"/>
        </w:rPr>
        <w:drawing>
          <wp:anchor distT="0" distB="0" distL="114300" distR="114300" simplePos="0" relativeHeight="251666432" behindDoc="1" locked="0" layoutInCell="1" allowOverlap="1" wp14:anchorId="06EC144E" wp14:editId="15499B17">
            <wp:simplePos x="0" y="0"/>
            <wp:positionH relativeFrom="margin">
              <wp:align>center</wp:align>
            </wp:positionH>
            <wp:positionV relativeFrom="margin">
              <wp:posOffset>941705</wp:posOffset>
            </wp:positionV>
            <wp:extent cx="3920490" cy="1139190"/>
            <wp:effectExtent l="0" t="0" r="3810" b="3810"/>
            <wp:wrapNone/>
            <wp:docPr id="3" name="Picture 3" descr="T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S_Logo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0490" cy="1139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63B08D" w14:textId="1F6460B8" w:rsidR="00AA0B75" w:rsidRDefault="00B95104" w:rsidP="00B95104">
      <w:pPr>
        <w:tabs>
          <w:tab w:val="left" w:pos="2160"/>
          <w:tab w:val="center" w:pos="4513"/>
        </w:tabs>
        <w:rPr>
          <w:rFonts w:ascii="Arial" w:eastAsiaTheme="majorEastAsia" w:hAnsi="Arial" w:cs="Arial"/>
          <w:color w:val="000000" w:themeColor="text1"/>
          <w:sz w:val="72"/>
          <w:szCs w:val="72"/>
          <w:lang w:eastAsia="ja-JP"/>
        </w:rPr>
      </w:pPr>
      <w:r>
        <w:rPr>
          <w:rFonts w:ascii="Arial" w:eastAsiaTheme="majorEastAsia" w:hAnsi="Arial" w:cs="Arial"/>
          <w:color w:val="000000" w:themeColor="text1"/>
          <w:sz w:val="72"/>
          <w:szCs w:val="72"/>
          <w:lang w:eastAsia="ja-JP"/>
        </w:rPr>
        <w:tab/>
      </w:r>
      <w:r>
        <w:rPr>
          <w:rFonts w:ascii="Arial" w:eastAsiaTheme="majorEastAsia" w:hAnsi="Arial" w:cs="Arial"/>
          <w:color w:val="000000" w:themeColor="text1"/>
          <w:sz w:val="72"/>
          <w:szCs w:val="72"/>
          <w:lang w:eastAsia="ja-JP"/>
        </w:rPr>
        <w:tab/>
      </w:r>
    </w:p>
    <w:p w14:paraId="68DF3DFF" w14:textId="100D3D5B" w:rsidR="006B21B0" w:rsidRDefault="006B21B0" w:rsidP="00B95104">
      <w:pPr>
        <w:tabs>
          <w:tab w:val="left" w:pos="2160"/>
          <w:tab w:val="center" w:pos="4513"/>
        </w:tabs>
        <w:rPr>
          <w:rFonts w:ascii="Arial" w:eastAsiaTheme="majorEastAsia" w:hAnsi="Arial" w:cs="Arial"/>
          <w:color w:val="000000" w:themeColor="text1"/>
          <w:sz w:val="72"/>
          <w:szCs w:val="72"/>
          <w:lang w:eastAsia="ja-JP"/>
        </w:rPr>
      </w:pPr>
    </w:p>
    <w:p w14:paraId="66F7970F" w14:textId="77777777" w:rsidR="006B21B0" w:rsidRDefault="006B21B0" w:rsidP="00B95104">
      <w:pPr>
        <w:tabs>
          <w:tab w:val="left" w:pos="2160"/>
          <w:tab w:val="center" w:pos="4513"/>
        </w:tabs>
        <w:rPr>
          <w:rFonts w:ascii="Arial" w:eastAsiaTheme="majorEastAsia" w:hAnsi="Arial" w:cs="Arial"/>
          <w:color w:val="000000" w:themeColor="text1"/>
          <w:sz w:val="72"/>
          <w:szCs w:val="72"/>
          <w:lang w:eastAsia="ja-JP"/>
        </w:rPr>
      </w:pPr>
    </w:p>
    <w:p w14:paraId="3A71AA5C" w14:textId="7FBA773E" w:rsidR="00B95104" w:rsidRDefault="006B21B0" w:rsidP="00AD4155">
      <w:pPr>
        <w:jc w:val="center"/>
        <w:rPr>
          <w:rFonts w:ascii="Arial" w:eastAsiaTheme="majorEastAsia" w:hAnsi="Arial" w:cs="Arial"/>
          <w:color w:val="000000" w:themeColor="text1"/>
          <w:sz w:val="72"/>
          <w:szCs w:val="72"/>
          <w:lang w:eastAsia="ja-JP"/>
        </w:rPr>
      </w:pPr>
      <w:r>
        <w:rPr>
          <w:rFonts w:eastAsiaTheme="majorEastAsia" w:cs="Arial"/>
          <w:color w:val="000000" w:themeColor="text1"/>
          <w:sz w:val="72"/>
          <w:szCs w:val="80"/>
          <w:lang w:val="en-US" w:eastAsia="ja-JP"/>
        </w:rPr>
        <w:t>Educational Visits and School Trips</w:t>
      </w:r>
    </w:p>
    <w:p w14:paraId="3978D81B" w14:textId="6601496C" w:rsidR="00AD4155" w:rsidRPr="00F165AD" w:rsidRDefault="00AC541B" w:rsidP="00AD4155">
      <w:pPr>
        <w:jc w:val="center"/>
        <w:rPr>
          <w:rFonts w:ascii="Arial" w:eastAsiaTheme="majorEastAsia" w:hAnsi="Arial" w:cs="Arial"/>
          <w:color w:val="000000" w:themeColor="text1"/>
          <w:sz w:val="72"/>
          <w:szCs w:val="80"/>
          <w:lang w:val="en-US" w:eastAsia="ja-JP"/>
        </w:rPr>
      </w:pPr>
      <w:r>
        <w:rPr>
          <w:rFonts w:ascii="Arial" w:eastAsiaTheme="majorEastAsia" w:hAnsi="Arial" w:cs="Arial"/>
          <w:color w:val="000000" w:themeColor="text1"/>
          <w:sz w:val="72"/>
          <w:szCs w:val="72"/>
          <w:lang w:eastAsia="ja-JP"/>
        </w:rPr>
        <w:t>Policy</w:t>
      </w:r>
    </w:p>
    <w:p w14:paraId="6C075734" w14:textId="77777777" w:rsidR="00D06CE6" w:rsidRDefault="00D06CE6" w:rsidP="00AD4155">
      <w:pPr>
        <w:jc w:val="center"/>
        <w:rPr>
          <w:rFonts w:ascii="Arial" w:eastAsiaTheme="majorEastAsia" w:hAnsi="Arial" w:cs="Arial"/>
          <w:color w:val="365F91" w:themeColor="accent1" w:themeShade="BF"/>
          <w:sz w:val="80"/>
          <w:szCs w:val="80"/>
          <w:lang w:val="en-US" w:eastAsia="ja-JP"/>
        </w:rPr>
      </w:pPr>
    </w:p>
    <w:p w14:paraId="70A94619" w14:textId="77777777" w:rsidR="000A28A0" w:rsidRDefault="00000162" w:rsidP="00AD4155">
      <w:pPr>
        <w:jc w:val="center"/>
        <w:rPr>
          <w:rFonts w:ascii="Arial" w:eastAsiaTheme="majorEastAsia" w:hAnsi="Arial" w:cs="Arial"/>
          <w:color w:val="365F91" w:themeColor="accent1" w:themeShade="BF"/>
          <w:sz w:val="80"/>
          <w:szCs w:val="80"/>
          <w:lang w:val="en-US" w:eastAsia="ja-JP"/>
        </w:rPr>
      </w:pPr>
      <w:r w:rsidRPr="00000162">
        <w:rPr>
          <w:rFonts w:ascii="Arial" w:hAnsi="Arial" w:cs="Arial"/>
          <w:b/>
          <w:noProof/>
          <w:sz w:val="28"/>
          <w:szCs w:val="28"/>
          <w:lang w:eastAsia="en-GB"/>
        </w:rPr>
        <mc:AlternateContent>
          <mc:Choice Requires="wps">
            <w:drawing>
              <wp:anchor distT="45720" distB="45720" distL="114300" distR="114300" simplePos="0" relativeHeight="251649024" behindDoc="0" locked="0" layoutInCell="1" allowOverlap="1" wp14:anchorId="5243D104" wp14:editId="0EB65847">
                <wp:simplePos x="0" y="0"/>
                <wp:positionH relativeFrom="column">
                  <wp:posOffset>-171450</wp:posOffset>
                </wp:positionH>
                <wp:positionV relativeFrom="paragraph">
                  <wp:posOffset>2817412</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6BC4D700" w14:textId="53DAD075" w:rsidR="003A1A85" w:rsidRPr="00000162" w:rsidRDefault="003A1A85">
                            <w:pPr>
                              <w:rPr>
                                <w:rFonts w:ascii="Arial" w:hAnsi="Arial" w:cs="Arial"/>
                                <w:sz w:val="20"/>
                              </w:rPr>
                            </w:pPr>
                            <w:r w:rsidRPr="00000162">
                              <w:rPr>
                                <w:rFonts w:ascii="Arial" w:hAnsi="Arial" w:cs="Arial"/>
                                <w:sz w:val="20"/>
                              </w:rPr>
                              <w:t xml:space="preserve">Last updated: </w:t>
                            </w:r>
                            <w:r w:rsidR="00F459DD">
                              <w:rPr>
                                <w:rFonts w:ascii="Arial" w:hAnsi="Arial" w:cs="Arial"/>
                                <w:sz w:val="20"/>
                              </w:rPr>
                              <w:t>December 2019</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5243D104">
                <v:stroke joinstyle="miter"/>
                <v:path gradientshapeok="t" o:connecttype="rect"/>
              </v:shapetype>
              <v:shape id="Text Box 2" style="position:absolute;left:0;text-align:left;margin-left:-13.5pt;margin-top:221.85pt;width:185.9pt;height:19.7pt;z-index:2516490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">
                <v:textbox>
                  <w:txbxContent>
                    <w:p w:rsidRPr="00000162" w:rsidR="003A1A85" w:rsidRDefault="003A1A85" w14:paraId="6BC4D700" w14:textId="53DAD075">
                      <w:pPr>
                        <w:rPr>
                          <w:rFonts w:ascii="Arial" w:hAnsi="Arial" w:cs="Arial"/>
                          <w:sz w:val="20"/>
                        </w:rPr>
                      </w:pPr>
                      <w:r w:rsidRPr="00000162">
                        <w:rPr>
                          <w:rFonts w:ascii="Arial" w:hAnsi="Arial" w:cs="Arial"/>
                          <w:sz w:val="20"/>
                        </w:rPr>
                        <w:t xml:space="preserve">Last updated: </w:t>
                      </w:r>
                      <w:r w:rsidR="00F459DD">
                        <w:rPr>
                          <w:rFonts w:ascii="Arial" w:hAnsi="Arial" w:cs="Arial"/>
                          <w:sz w:val="20"/>
                        </w:rPr>
                        <w:t>December 2019</w:t>
                      </w:r>
                    </w:p>
                  </w:txbxContent>
                </v:textbox>
                <w10:wrap type="square"/>
              </v:shape>
            </w:pict>
          </mc:Fallback>
        </mc:AlternateContent>
      </w:r>
    </w:p>
    <w:p w14:paraId="28F30F9D" w14:textId="77777777" w:rsidR="000A28A0" w:rsidRDefault="000A28A0" w:rsidP="00AD4155">
      <w:pPr>
        <w:jc w:val="center"/>
        <w:rPr>
          <w:rFonts w:ascii="Arial" w:eastAsiaTheme="majorEastAsia" w:hAnsi="Arial" w:cs="Arial"/>
          <w:color w:val="365F91" w:themeColor="accent1" w:themeShade="BF"/>
          <w:sz w:val="80"/>
          <w:szCs w:val="80"/>
          <w:lang w:val="en-US" w:eastAsia="ja-JP"/>
        </w:rPr>
        <w:sectPr w:rsidR="000A28A0" w:rsidSect="00227E6E">
          <w:footerReference w:type="default" r:id="rId9"/>
          <w:footerReference w:type="first" r:id="rId10"/>
          <w:pgSz w:w="11906" w:h="16838"/>
          <w:pgMar w:top="1440" w:right="1440" w:bottom="1440" w:left="1440" w:header="564" w:footer="708" w:gutter="0"/>
          <w:pgBorders w:display="notFirstPage"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sdt>
      <w:sdtPr>
        <w:rPr>
          <w:rFonts w:asciiTheme="minorHAnsi" w:eastAsiaTheme="minorHAnsi" w:hAnsiTheme="minorHAnsi" w:cstheme="minorBidi"/>
          <w:color w:val="auto"/>
          <w:sz w:val="22"/>
          <w:szCs w:val="22"/>
          <w:lang w:val="en-GB"/>
        </w:rPr>
        <w:id w:val="1517968829"/>
        <w:docPartObj>
          <w:docPartGallery w:val="Table of Contents"/>
          <w:docPartUnique/>
        </w:docPartObj>
      </w:sdtPr>
      <w:sdtEndPr>
        <w:rPr>
          <w:b/>
          <w:bCs/>
          <w:noProof/>
        </w:rPr>
      </w:sdtEndPr>
      <w:sdtContent>
        <w:p w14:paraId="427A0911" w14:textId="79CF9AB6" w:rsidR="00E84573" w:rsidRDefault="00E84573" w:rsidP="00E84573">
          <w:pPr>
            <w:pStyle w:val="TOCHeading"/>
          </w:pPr>
        </w:p>
        <w:p w14:paraId="5EBA9AE7" w14:textId="3A249351" w:rsidR="00E84573" w:rsidRDefault="004305F8"/>
      </w:sdtContent>
    </w:sdt>
    <w:p w14:paraId="62C4B5FD" w14:textId="77777777" w:rsidR="00847389" w:rsidRPr="00847389" w:rsidRDefault="00847389" w:rsidP="00847389">
      <w:pPr>
        <w:pStyle w:val="Style2"/>
        <w:numPr>
          <w:ilvl w:val="0"/>
          <w:numId w:val="0"/>
        </w:numPr>
        <w:spacing w:line="240" w:lineRule="auto"/>
        <w:ind w:left="717"/>
        <w:rPr>
          <w:rFonts w:ascii="Arial" w:hAnsi="Arial" w:cs="Arial"/>
        </w:rPr>
      </w:pPr>
    </w:p>
    <w:p w14:paraId="0793B2BF" w14:textId="77777777" w:rsidR="006B21B0" w:rsidRPr="00BC49DC" w:rsidRDefault="006B21B0" w:rsidP="006B21B0">
      <w:pPr>
        <w:spacing w:before="120" w:after="120"/>
        <w:ind w:firstLine="709"/>
        <w:jc w:val="both"/>
        <w:rPr>
          <w:rFonts w:cs="Arial"/>
        </w:rPr>
      </w:pPr>
    </w:p>
    <w:p w14:paraId="3694BC0C" w14:textId="77777777" w:rsidR="00227E6E" w:rsidRPr="00F165AD" w:rsidRDefault="00227E6E" w:rsidP="00227E6E">
      <w:pPr>
        <w:pStyle w:val="ListParagraph"/>
        <w:spacing w:before="120" w:after="120"/>
        <w:ind w:left="360"/>
        <w:contextualSpacing w:val="0"/>
        <w:jc w:val="both"/>
        <w:rPr>
          <w:rFonts w:ascii="Arial" w:hAnsi="Arial" w:cs="Arial"/>
          <w:b/>
          <w:sz w:val="32"/>
        </w:rPr>
      </w:pPr>
      <w:r w:rsidRPr="00F165AD">
        <w:rPr>
          <w:rFonts w:ascii="Arial" w:hAnsi="Arial" w:cs="Arial"/>
          <w:b/>
          <w:sz w:val="32"/>
        </w:rPr>
        <w:t>Contents:</w:t>
      </w:r>
    </w:p>
    <w:p w14:paraId="02FEECBC" w14:textId="77777777" w:rsidR="00227E6E" w:rsidRPr="00237825" w:rsidRDefault="00227E6E" w:rsidP="00227E6E">
      <w:pPr>
        <w:spacing w:before="120" w:after="120"/>
        <w:ind w:left="717"/>
        <w:jc w:val="both"/>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bookmarkStart w:id="0" w:name="b"/>
    </w:p>
    <w:p w14:paraId="08CC89A5" w14:textId="77777777" w:rsidR="00227E6E" w:rsidRDefault="00227E6E" w:rsidP="00227E6E">
      <w:pPr>
        <w:pStyle w:val="ListParagraph"/>
        <w:numPr>
          <w:ilvl w:val="0"/>
          <w:numId w:val="1"/>
        </w:numPr>
        <w:spacing w:before="120" w:after="120"/>
        <w:ind w:left="1077"/>
        <w:contextualSpacing w:val="0"/>
        <w:jc w:val="both"/>
        <w:rPr>
          <w:rFonts w:ascii="Arial" w:hAnsi="Arial" w:cs="Arial"/>
        </w:rPr>
      </w:pPr>
      <w:r>
        <w:rPr>
          <w:rFonts w:ascii="Arial" w:hAnsi="Arial" w:cs="Arial"/>
        </w:rPr>
        <w:fldChar w:fldCharType="end"/>
      </w:r>
      <w:bookmarkEnd w:id="0"/>
      <w:r>
        <w:rPr>
          <w:rFonts w:ascii="Arial" w:hAnsi="Arial" w:cs="Arial"/>
        </w:rPr>
        <w:fldChar w:fldCharType="begin"/>
      </w:r>
      <w:r>
        <w:rPr>
          <w:rFonts w:ascii="Arial" w:hAnsi="Arial" w:cs="Arial"/>
        </w:rPr>
        <w:instrText>HYPERLINK  \l "_Legal_framework_1"</w:instrText>
      </w:r>
      <w:r>
        <w:rPr>
          <w:rFonts w:ascii="Arial" w:hAnsi="Arial" w:cs="Arial"/>
        </w:rPr>
        <w:fldChar w:fldCharType="separate"/>
      </w:r>
      <w:r w:rsidRPr="005B2F0B">
        <w:rPr>
          <w:rStyle w:val="Hyperlink"/>
          <w:rFonts w:ascii="Arial" w:hAnsi="Arial" w:cs="Arial"/>
        </w:rPr>
        <w:t>Legal framework</w:t>
      </w:r>
      <w:r>
        <w:rPr>
          <w:rFonts w:ascii="Arial" w:hAnsi="Arial" w:cs="Arial"/>
        </w:rPr>
        <w:fldChar w:fldCharType="end"/>
      </w:r>
      <w:r>
        <w:rPr>
          <w:rFonts w:ascii="Arial" w:hAnsi="Arial" w:cs="Arial"/>
        </w:rPr>
        <w:t xml:space="preserve"> </w:t>
      </w:r>
    </w:p>
    <w:p w14:paraId="29C92BE7" w14:textId="77777777" w:rsidR="00227E6E" w:rsidRPr="00D045D4" w:rsidRDefault="004305F8" w:rsidP="00227E6E">
      <w:pPr>
        <w:pStyle w:val="ListParagraph"/>
        <w:numPr>
          <w:ilvl w:val="0"/>
          <w:numId w:val="1"/>
        </w:numPr>
        <w:spacing w:before="120" w:after="120"/>
        <w:ind w:left="1077"/>
        <w:contextualSpacing w:val="0"/>
        <w:jc w:val="both"/>
        <w:rPr>
          <w:rStyle w:val="Hyperlink"/>
          <w:rFonts w:ascii="Arial" w:hAnsi="Arial" w:cs="Arial"/>
          <w:color w:val="auto"/>
          <w:u w:val="none"/>
        </w:rPr>
      </w:pPr>
      <w:hyperlink w:anchor="_Definitions" w:history="1">
        <w:r w:rsidR="00227E6E">
          <w:rPr>
            <w:rStyle w:val="Hyperlink"/>
          </w:rPr>
          <w:t>Definitions</w:t>
        </w:r>
      </w:hyperlink>
    </w:p>
    <w:p w14:paraId="25A606CA" w14:textId="77777777" w:rsidR="00227E6E" w:rsidRDefault="004305F8" w:rsidP="00227E6E">
      <w:pPr>
        <w:pStyle w:val="ListParagraph"/>
        <w:numPr>
          <w:ilvl w:val="0"/>
          <w:numId w:val="1"/>
        </w:numPr>
        <w:spacing w:before="120" w:after="120"/>
        <w:ind w:left="1077"/>
        <w:contextualSpacing w:val="0"/>
        <w:jc w:val="both"/>
        <w:rPr>
          <w:rStyle w:val="Hyperlink"/>
          <w:rFonts w:ascii="Arial" w:hAnsi="Arial" w:cs="Arial"/>
          <w:color w:val="auto"/>
          <w:u w:val="none"/>
        </w:rPr>
      </w:pPr>
      <w:hyperlink w:anchor="_Key_roles_and" w:history="1">
        <w:r w:rsidR="00227E6E" w:rsidRPr="00D045D4">
          <w:rPr>
            <w:rStyle w:val="Hyperlink"/>
            <w:rFonts w:ascii="Arial" w:hAnsi="Arial" w:cs="Arial"/>
          </w:rPr>
          <w:t>Key roles and responsibilities</w:t>
        </w:r>
      </w:hyperlink>
    </w:p>
    <w:p w14:paraId="6D5F41B8" w14:textId="77777777" w:rsidR="00227E6E" w:rsidRDefault="004305F8" w:rsidP="00227E6E">
      <w:pPr>
        <w:pStyle w:val="ListParagraph"/>
        <w:numPr>
          <w:ilvl w:val="0"/>
          <w:numId w:val="1"/>
        </w:numPr>
        <w:spacing w:before="120" w:after="120"/>
        <w:ind w:left="1077"/>
        <w:contextualSpacing w:val="0"/>
        <w:jc w:val="both"/>
        <w:rPr>
          <w:rStyle w:val="Hyperlink"/>
          <w:rFonts w:ascii="Arial" w:hAnsi="Arial" w:cs="Arial"/>
          <w:color w:val="auto"/>
          <w:u w:val="none"/>
        </w:rPr>
      </w:pPr>
      <w:hyperlink w:anchor="_Training_of_staff" w:history="1">
        <w:r w:rsidR="00227E6E" w:rsidRPr="00D045D4">
          <w:rPr>
            <w:rStyle w:val="Hyperlink"/>
            <w:rFonts w:ascii="Arial" w:hAnsi="Arial" w:cs="Arial"/>
          </w:rPr>
          <w:t>Training of staff</w:t>
        </w:r>
      </w:hyperlink>
    </w:p>
    <w:p w14:paraId="7A69193A" w14:textId="77777777" w:rsidR="00227E6E" w:rsidRDefault="004305F8" w:rsidP="00227E6E">
      <w:pPr>
        <w:pStyle w:val="ListParagraph"/>
        <w:numPr>
          <w:ilvl w:val="0"/>
          <w:numId w:val="1"/>
        </w:numPr>
        <w:spacing w:before="120" w:after="120"/>
        <w:ind w:left="1077"/>
        <w:contextualSpacing w:val="0"/>
        <w:jc w:val="both"/>
        <w:rPr>
          <w:rStyle w:val="Hyperlink"/>
          <w:rFonts w:ascii="Arial" w:hAnsi="Arial" w:cs="Arial"/>
          <w:color w:val="auto"/>
          <w:u w:val="none"/>
        </w:rPr>
      </w:pPr>
      <w:hyperlink w:anchor="_Planning_school_trips_1" w:history="1">
        <w:r w:rsidR="00227E6E" w:rsidRPr="00D045D4">
          <w:rPr>
            <w:rStyle w:val="Hyperlink"/>
            <w:rFonts w:ascii="Arial" w:hAnsi="Arial" w:cs="Arial"/>
          </w:rPr>
          <w:t>Planning school trips</w:t>
        </w:r>
      </w:hyperlink>
    </w:p>
    <w:p w14:paraId="2CF9C586" w14:textId="77777777" w:rsidR="00227E6E" w:rsidRPr="00846335" w:rsidRDefault="004305F8" w:rsidP="00227E6E">
      <w:pPr>
        <w:pStyle w:val="ListParagraph"/>
        <w:numPr>
          <w:ilvl w:val="0"/>
          <w:numId w:val="1"/>
        </w:numPr>
        <w:spacing w:before="120" w:after="120"/>
        <w:ind w:left="1077"/>
        <w:contextualSpacing w:val="0"/>
        <w:jc w:val="both"/>
        <w:rPr>
          <w:rStyle w:val="Hyperlink"/>
          <w:rFonts w:ascii="Arial" w:hAnsi="Arial" w:cs="Arial"/>
          <w:color w:val="auto"/>
          <w:u w:val="none"/>
        </w:rPr>
      </w:pPr>
      <w:hyperlink w:anchor="_Risk_assessment_process" w:history="1">
        <w:r w:rsidR="00227E6E" w:rsidRPr="00D045D4">
          <w:rPr>
            <w:rStyle w:val="Hyperlink"/>
            <w:rFonts w:ascii="Arial" w:hAnsi="Arial" w:cs="Arial"/>
          </w:rPr>
          <w:t>Risk assessment process</w:t>
        </w:r>
      </w:hyperlink>
    </w:p>
    <w:p w14:paraId="051B7E79" w14:textId="133D9964" w:rsidR="00227E6E" w:rsidRDefault="004305F8" w:rsidP="00227E6E">
      <w:pPr>
        <w:pStyle w:val="ListParagraph"/>
        <w:numPr>
          <w:ilvl w:val="0"/>
          <w:numId w:val="1"/>
        </w:numPr>
        <w:spacing w:before="120" w:after="120"/>
        <w:ind w:left="1077"/>
        <w:contextualSpacing w:val="0"/>
        <w:jc w:val="both"/>
        <w:rPr>
          <w:rStyle w:val="Hyperlink"/>
          <w:rFonts w:ascii="Arial" w:hAnsi="Arial" w:cs="Arial"/>
          <w:color w:val="auto"/>
          <w:u w:val="none"/>
        </w:rPr>
      </w:pPr>
      <w:hyperlink w:anchor="_[New]_V_etting" w:history="1">
        <w:r w:rsidR="00227E6E" w:rsidRPr="008A5277">
          <w:rPr>
            <w:rStyle w:val="Hyperlink"/>
            <w:rFonts w:ascii="Arial" w:hAnsi="Arial" w:cs="Arial"/>
          </w:rPr>
          <w:t>Vetting providers</w:t>
        </w:r>
      </w:hyperlink>
    </w:p>
    <w:p w14:paraId="0ACFA4CD" w14:textId="77777777" w:rsidR="00227E6E" w:rsidRDefault="004305F8" w:rsidP="00227E6E">
      <w:pPr>
        <w:pStyle w:val="ListParagraph"/>
        <w:numPr>
          <w:ilvl w:val="0"/>
          <w:numId w:val="1"/>
        </w:numPr>
        <w:spacing w:before="120" w:after="120"/>
        <w:ind w:left="1077"/>
        <w:contextualSpacing w:val="0"/>
        <w:jc w:val="both"/>
        <w:rPr>
          <w:rStyle w:val="Hyperlink"/>
          <w:rFonts w:ascii="Arial" w:hAnsi="Arial" w:cs="Arial"/>
          <w:color w:val="auto"/>
          <w:u w:val="none"/>
        </w:rPr>
      </w:pPr>
      <w:hyperlink w:anchor="_Equal_opportunities_1" w:history="1">
        <w:r w:rsidR="00227E6E" w:rsidRPr="00D045D4">
          <w:rPr>
            <w:rStyle w:val="Hyperlink"/>
            <w:rFonts w:ascii="Arial" w:hAnsi="Arial" w:cs="Arial"/>
          </w:rPr>
          <w:t>Equal opportunities</w:t>
        </w:r>
      </w:hyperlink>
    </w:p>
    <w:p w14:paraId="13C93E5D" w14:textId="77777777" w:rsidR="00227E6E" w:rsidRDefault="004305F8" w:rsidP="00227E6E">
      <w:pPr>
        <w:pStyle w:val="ListParagraph"/>
        <w:numPr>
          <w:ilvl w:val="0"/>
          <w:numId w:val="1"/>
        </w:numPr>
        <w:spacing w:before="120" w:after="120"/>
        <w:ind w:left="1077"/>
        <w:contextualSpacing w:val="0"/>
        <w:jc w:val="both"/>
        <w:rPr>
          <w:rStyle w:val="Hyperlink"/>
          <w:rFonts w:ascii="Arial" w:hAnsi="Arial" w:cs="Arial"/>
          <w:color w:val="auto"/>
          <w:u w:val="none"/>
        </w:rPr>
      </w:pPr>
      <w:hyperlink w:anchor="_Parental_consent" w:history="1">
        <w:r w:rsidR="00227E6E" w:rsidRPr="00D045D4">
          <w:rPr>
            <w:rStyle w:val="Hyperlink"/>
            <w:rFonts w:ascii="Arial" w:hAnsi="Arial" w:cs="Arial"/>
          </w:rPr>
          <w:t>Parental consent</w:t>
        </w:r>
      </w:hyperlink>
    </w:p>
    <w:p w14:paraId="2A6A261E" w14:textId="77777777" w:rsidR="00227E6E" w:rsidRDefault="004305F8" w:rsidP="00227E6E">
      <w:pPr>
        <w:pStyle w:val="ListParagraph"/>
        <w:numPr>
          <w:ilvl w:val="0"/>
          <w:numId w:val="1"/>
        </w:numPr>
        <w:spacing w:before="120" w:after="120"/>
        <w:ind w:left="1077"/>
        <w:contextualSpacing w:val="0"/>
        <w:jc w:val="both"/>
        <w:rPr>
          <w:rStyle w:val="Hyperlink"/>
          <w:rFonts w:ascii="Arial" w:hAnsi="Arial" w:cs="Arial"/>
          <w:color w:val="auto"/>
          <w:u w:val="none"/>
        </w:rPr>
      </w:pPr>
      <w:hyperlink w:anchor="_Staffing_ratios" w:history="1">
        <w:r w:rsidR="00227E6E" w:rsidRPr="00D045D4">
          <w:rPr>
            <w:rStyle w:val="Hyperlink"/>
            <w:rFonts w:ascii="Arial" w:hAnsi="Arial" w:cs="Arial"/>
          </w:rPr>
          <w:t>Staffing ratios</w:t>
        </w:r>
      </w:hyperlink>
    </w:p>
    <w:p w14:paraId="45450672" w14:textId="77777777" w:rsidR="00227E6E" w:rsidRDefault="004305F8" w:rsidP="00227E6E">
      <w:pPr>
        <w:pStyle w:val="ListParagraph"/>
        <w:numPr>
          <w:ilvl w:val="0"/>
          <w:numId w:val="1"/>
        </w:numPr>
        <w:spacing w:before="120" w:after="120"/>
        <w:ind w:left="1077"/>
        <w:contextualSpacing w:val="0"/>
        <w:jc w:val="both"/>
        <w:rPr>
          <w:rStyle w:val="Hyperlink"/>
          <w:rFonts w:ascii="Arial" w:hAnsi="Arial" w:cs="Arial"/>
          <w:color w:val="auto"/>
          <w:u w:val="none"/>
        </w:rPr>
      </w:pPr>
      <w:hyperlink w:anchor="_Insurance_and_licensing" w:history="1">
        <w:r w:rsidR="00227E6E" w:rsidRPr="00D045D4">
          <w:rPr>
            <w:rStyle w:val="Hyperlink"/>
            <w:rFonts w:ascii="Arial" w:hAnsi="Arial" w:cs="Arial"/>
          </w:rPr>
          <w:t>Insurance and licensing</w:t>
        </w:r>
      </w:hyperlink>
    </w:p>
    <w:p w14:paraId="04150A13" w14:textId="77777777" w:rsidR="00227E6E" w:rsidRDefault="004305F8" w:rsidP="00227E6E">
      <w:pPr>
        <w:pStyle w:val="ListParagraph"/>
        <w:numPr>
          <w:ilvl w:val="0"/>
          <w:numId w:val="1"/>
        </w:numPr>
        <w:spacing w:before="120" w:after="120"/>
        <w:ind w:left="1077"/>
        <w:contextualSpacing w:val="0"/>
        <w:jc w:val="both"/>
        <w:rPr>
          <w:rStyle w:val="Hyperlink"/>
          <w:rFonts w:ascii="Arial" w:hAnsi="Arial" w:cs="Arial"/>
          <w:color w:val="auto"/>
          <w:u w:val="none"/>
        </w:rPr>
      </w:pPr>
      <w:hyperlink w:anchor="_Accidents_and_incidents" w:history="1">
        <w:r w:rsidR="00227E6E" w:rsidRPr="00D045D4">
          <w:rPr>
            <w:rStyle w:val="Hyperlink"/>
            <w:rFonts w:ascii="Arial" w:hAnsi="Arial" w:cs="Arial"/>
          </w:rPr>
          <w:t>Accidents and incidents</w:t>
        </w:r>
      </w:hyperlink>
    </w:p>
    <w:p w14:paraId="36303965" w14:textId="77777777" w:rsidR="00227E6E" w:rsidRDefault="004305F8" w:rsidP="00227E6E">
      <w:pPr>
        <w:pStyle w:val="ListParagraph"/>
        <w:numPr>
          <w:ilvl w:val="0"/>
          <w:numId w:val="1"/>
        </w:numPr>
        <w:spacing w:before="120" w:after="120"/>
        <w:ind w:left="1077"/>
        <w:contextualSpacing w:val="0"/>
        <w:jc w:val="both"/>
        <w:rPr>
          <w:rStyle w:val="Hyperlink"/>
          <w:rFonts w:ascii="Arial" w:hAnsi="Arial" w:cs="Arial"/>
          <w:color w:val="auto"/>
          <w:u w:val="none"/>
        </w:rPr>
      </w:pPr>
      <w:hyperlink w:anchor="_Missing_person_procedure" w:history="1">
        <w:r w:rsidR="00227E6E" w:rsidRPr="00D045D4">
          <w:rPr>
            <w:rStyle w:val="Hyperlink"/>
            <w:rFonts w:ascii="Arial" w:hAnsi="Arial" w:cs="Arial"/>
          </w:rPr>
          <w:t>Missing person procedure</w:t>
        </w:r>
      </w:hyperlink>
    </w:p>
    <w:p w14:paraId="73169DE5" w14:textId="77777777" w:rsidR="00227E6E" w:rsidRDefault="004305F8" w:rsidP="00227E6E">
      <w:pPr>
        <w:pStyle w:val="ListParagraph"/>
        <w:numPr>
          <w:ilvl w:val="0"/>
          <w:numId w:val="1"/>
        </w:numPr>
        <w:spacing w:before="120" w:after="120"/>
        <w:ind w:left="1077"/>
        <w:contextualSpacing w:val="0"/>
        <w:jc w:val="both"/>
        <w:rPr>
          <w:rStyle w:val="Hyperlink"/>
          <w:rFonts w:ascii="Arial" w:hAnsi="Arial" w:cs="Arial"/>
          <w:color w:val="auto"/>
          <w:u w:val="none"/>
        </w:rPr>
      </w:pPr>
      <w:hyperlink w:anchor="_Pupils_with_SEND" w:history="1">
        <w:r w:rsidR="00227E6E" w:rsidRPr="00D045D4">
          <w:rPr>
            <w:rStyle w:val="Hyperlink"/>
            <w:rFonts w:ascii="Arial" w:hAnsi="Arial" w:cs="Arial"/>
          </w:rPr>
          <w:t>Pupils with SEND</w:t>
        </w:r>
      </w:hyperlink>
    </w:p>
    <w:p w14:paraId="45B461F6" w14:textId="77777777" w:rsidR="00227E6E" w:rsidRDefault="004305F8" w:rsidP="00227E6E">
      <w:pPr>
        <w:pStyle w:val="ListParagraph"/>
        <w:numPr>
          <w:ilvl w:val="0"/>
          <w:numId w:val="1"/>
        </w:numPr>
        <w:spacing w:before="120" w:after="120"/>
        <w:ind w:left="1077"/>
        <w:contextualSpacing w:val="0"/>
        <w:jc w:val="both"/>
        <w:rPr>
          <w:rStyle w:val="Hyperlink"/>
          <w:rFonts w:ascii="Arial" w:hAnsi="Arial" w:cs="Arial"/>
          <w:color w:val="auto"/>
          <w:u w:val="none"/>
        </w:rPr>
      </w:pPr>
      <w:hyperlink w:anchor="_Finance" w:history="1">
        <w:r w:rsidR="00227E6E" w:rsidRPr="00D045D4">
          <w:rPr>
            <w:rStyle w:val="Hyperlink"/>
            <w:rFonts w:ascii="Arial" w:hAnsi="Arial" w:cs="Arial"/>
          </w:rPr>
          <w:t>Finance</w:t>
        </w:r>
      </w:hyperlink>
    </w:p>
    <w:p w14:paraId="341EF94D" w14:textId="77777777" w:rsidR="00227E6E" w:rsidRPr="00DD33C7" w:rsidRDefault="004305F8" w:rsidP="00227E6E">
      <w:pPr>
        <w:pStyle w:val="ListParagraph"/>
        <w:numPr>
          <w:ilvl w:val="0"/>
          <w:numId w:val="1"/>
        </w:numPr>
        <w:spacing w:before="120" w:after="120"/>
        <w:ind w:left="1077"/>
        <w:contextualSpacing w:val="0"/>
        <w:jc w:val="both"/>
        <w:rPr>
          <w:rStyle w:val="Hyperlink"/>
          <w:rFonts w:ascii="Arial" w:hAnsi="Arial" w:cs="Arial"/>
          <w:color w:val="auto"/>
          <w:u w:val="none"/>
        </w:rPr>
      </w:pPr>
      <w:hyperlink w:anchor="_Foreign_trips" w:history="1">
        <w:r w:rsidR="00227E6E" w:rsidRPr="00D045D4">
          <w:rPr>
            <w:rStyle w:val="Hyperlink"/>
            <w:rFonts w:ascii="Arial" w:hAnsi="Arial" w:cs="Arial"/>
          </w:rPr>
          <w:t>Foreign trips</w:t>
        </w:r>
      </w:hyperlink>
    </w:p>
    <w:p w14:paraId="234EDE22" w14:textId="1A7E4A06" w:rsidR="00227E6E" w:rsidRDefault="004305F8" w:rsidP="00227E6E">
      <w:pPr>
        <w:pStyle w:val="ListParagraph"/>
        <w:numPr>
          <w:ilvl w:val="0"/>
          <w:numId w:val="1"/>
        </w:numPr>
        <w:spacing w:before="120" w:after="120"/>
        <w:ind w:left="1077"/>
        <w:contextualSpacing w:val="0"/>
        <w:jc w:val="both"/>
        <w:rPr>
          <w:rStyle w:val="Hyperlink"/>
          <w:rFonts w:ascii="Arial" w:hAnsi="Arial" w:cs="Arial"/>
          <w:color w:val="auto"/>
          <w:u w:val="none"/>
        </w:rPr>
      </w:pPr>
      <w:hyperlink w:anchor="_[New]_Evaluating_trips" w:history="1">
        <w:r w:rsidR="00227E6E" w:rsidRPr="00DD33C7">
          <w:rPr>
            <w:rStyle w:val="Hyperlink"/>
          </w:rPr>
          <w:t>Evaluating trips and visits</w:t>
        </w:r>
      </w:hyperlink>
    </w:p>
    <w:p w14:paraId="23AC8C0E" w14:textId="77777777" w:rsidR="00227E6E" w:rsidRPr="00D045D4" w:rsidRDefault="004305F8" w:rsidP="00227E6E">
      <w:pPr>
        <w:pStyle w:val="ListParagraph"/>
        <w:numPr>
          <w:ilvl w:val="0"/>
          <w:numId w:val="1"/>
        </w:numPr>
        <w:spacing w:before="120" w:after="120"/>
        <w:ind w:left="1077"/>
        <w:contextualSpacing w:val="0"/>
        <w:jc w:val="both"/>
        <w:rPr>
          <w:rStyle w:val="Hyperlink"/>
          <w:rFonts w:ascii="Arial" w:hAnsi="Arial" w:cs="Arial"/>
          <w:color w:val="auto"/>
          <w:u w:val="none"/>
        </w:rPr>
      </w:pPr>
      <w:hyperlink w:anchor="_Monitoring_and_review_1" w:history="1">
        <w:r w:rsidR="00227E6E" w:rsidRPr="00D045D4">
          <w:rPr>
            <w:rStyle w:val="Hyperlink"/>
            <w:rFonts w:ascii="Arial" w:hAnsi="Arial" w:cs="Arial"/>
          </w:rPr>
          <w:t>Monitoring and review</w:t>
        </w:r>
      </w:hyperlink>
    </w:p>
    <w:p w14:paraId="483CF8BE" w14:textId="77777777" w:rsidR="006B21B0" w:rsidRPr="00F165AD" w:rsidRDefault="006B21B0" w:rsidP="006B21B0">
      <w:pPr>
        <w:spacing w:before="120" w:after="120"/>
        <w:jc w:val="both"/>
        <w:rPr>
          <w:rFonts w:cs="Arial"/>
        </w:rPr>
      </w:pPr>
    </w:p>
    <w:p w14:paraId="661F6311" w14:textId="77777777" w:rsidR="006B21B0" w:rsidRPr="00F165AD" w:rsidRDefault="006B21B0" w:rsidP="006B21B0">
      <w:pPr>
        <w:spacing w:before="120" w:after="120"/>
        <w:jc w:val="both"/>
        <w:rPr>
          <w:rFonts w:cs="Arial"/>
          <w:sz w:val="32"/>
          <w:szCs w:val="32"/>
        </w:rPr>
      </w:pPr>
    </w:p>
    <w:p w14:paraId="5D287F68" w14:textId="77777777" w:rsidR="006B21B0" w:rsidRPr="00F165AD" w:rsidRDefault="006B21B0" w:rsidP="006B21B0">
      <w:pPr>
        <w:spacing w:before="120" w:after="120"/>
        <w:jc w:val="both"/>
        <w:rPr>
          <w:rFonts w:cs="Arial"/>
          <w:sz w:val="32"/>
          <w:szCs w:val="32"/>
        </w:rPr>
      </w:pPr>
      <w:r w:rsidRPr="00F165AD">
        <w:rPr>
          <w:rFonts w:cs="Arial"/>
          <w:sz w:val="32"/>
          <w:szCs w:val="32"/>
        </w:rPr>
        <w:br w:type="page"/>
      </w:r>
    </w:p>
    <w:p w14:paraId="75AC98C3" w14:textId="77777777" w:rsidR="006B21B0" w:rsidRPr="00260C74" w:rsidRDefault="006B21B0" w:rsidP="006B21B0">
      <w:pPr>
        <w:pStyle w:val="Heading2"/>
        <w:numPr>
          <w:ilvl w:val="0"/>
          <w:numId w:val="0"/>
        </w:numPr>
        <w:spacing w:before="120"/>
        <w:ind w:left="578" w:hanging="578"/>
        <w:jc w:val="both"/>
        <w:rPr>
          <w:rFonts w:asciiTheme="minorHAnsi" w:hAnsiTheme="minorHAnsi" w:cstheme="minorHAnsi"/>
          <w:b/>
          <w:sz w:val="28"/>
          <w:szCs w:val="22"/>
        </w:rPr>
      </w:pPr>
      <w:bookmarkStart w:id="1" w:name="statment"/>
      <w:bookmarkStart w:id="2" w:name="statement"/>
      <w:r>
        <w:rPr>
          <w:rFonts w:asciiTheme="minorHAnsi" w:hAnsiTheme="minorHAnsi" w:cstheme="minorHAnsi"/>
          <w:b/>
          <w:sz w:val="28"/>
          <w:szCs w:val="22"/>
        </w:rPr>
        <w:lastRenderedPageBreak/>
        <w:t xml:space="preserve">Statement of intent </w:t>
      </w:r>
    </w:p>
    <w:bookmarkEnd w:id="1"/>
    <w:bookmarkEnd w:id="2"/>
    <w:p w14:paraId="796D64D3" w14:textId="77777777" w:rsidR="006B21B0" w:rsidRPr="004A73EB" w:rsidRDefault="006B21B0" w:rsidP="006B21B0">
      <w:pPr>
        <w:spacing w:before="120" w:after="120"/>
        <w:jc w:val="both"/>
        <w:rPr>
          <w:sz w:val="2"/>
        </w:rPr>
      </w:pPr>
    </w:p>
    <w:p w14:paraId="30454B97" w14:textId="77777777" w:rsidR="006B21B0" w:rsidRDefault="006B21B0" w:rsidP="006B21B0">
      <w:pPr>
        <w:spacing w:before="120" w:after="120"/>
        <w:jc w:val="both"/>
        <w:rPr>
          <w:rFonts w:cs="Arial"/>
          <w:szCs w:val="28"/>
        </w:rPr>
      </w:pPr>
    </w:p>
    <w:p w14:paraId="3CC00C6D" w14:textId="77777777" w:rsidR="006B21B0" w:rsidRDefault="006B21B0" w:rsidP="006B21B0">
      <w:pPr>
        <w:spacing w:before="120" w:after="120"/>
        <w:jc w:val="both"/>
        <w:rPr>
          <w:rFonts w:cs="Arial"/>
          <w:szCs w:val="28"/>
        </w:rPr>
      </w:pPr>
    </w:p>
    <w:p w14:paraId="74C1F9BF" w14:textId="6D71AB28" w:rsidR="006B21B0" w:rsidRPr="006C472E" w:rsidRDefault="006B21B0" w:rsidP="006B21B0">
      <w:pPr>
        <w:spacing w:before="120" w:after="120"/>
        <w:jc w:val="both"/>
        <w:rPr>
          <w:rFonts w:cs="Arial"/>
          <w:szCs w:val="28"/>
        </w:rPr>
      </w:pPr>
      <w:r w:rsidRPr="006B21B0">
        <w:rPr>
          <w:rFonts w:cs="Arial"/>
          <w:szCs w:val="28"/>
        </w:rPr>
        <w:t>Tor School</w:t>
      </w:r>
      <w:r>
        <w:rPr>
          <w:rFonts w:cs="Arial"/>
          <w:szCs w:val="28"/>
        </w:rPr>
        <w:t xml:space="preserve"> </w:t>
      </w:r>
      <w:r w:rsidRPr="006C472E">
        <w:rPr>
          <w:rFonts w:cs="Arial"/>
          <w:szCs w:val="28"/>
        </w:rPr>
        <w:t xml:space="preserve">understands that visits and trips can be effective ways of </w:t>
      </w:r>
      <w:r>
        <w:rPr>
          <w:rFonts w:cs="Arial"/>
          <w:szCs w:val="28"/>
        </w:rPr>
        <w:t>motivating</w:t>
      </w:r>
      <w:r w:rsidRPr="006C472E">
        <w:rPr>
          <w:rFonts w:cs="Arial"/>
          <w:szCs w:val="28"/>
        </w:rPr>
        <w:t xml:space="preserve"> pupils, and they can often offer unique educational experiences. The school aims to ensure that pupils are engaged in their learning and are given opportunities to explore this in a more practical setting. </w:t>
      </w:r>
    </w:p>
    <w:p w14:paraId="50970168" w14:textId="77777777" w:rsidR="006B21B0" w:rsidRPr="00C96500" w:rsidRDefault="006B21B0" w:rsidP="006B21B0">
      <w:pPr>
        <w:spacing w:before="120" w:after="120"/>
        <w:jc w:val="both"/>
        <w:rPr>
          <w:rFonts w:cs="Arial"/>
          <w:szCs w:val="28"/>
        </w:rPr>
      </w:pPr>
      <w:r w:rsidRPr="006C472E">
        <w:rPr>
          <w:rFonts w:cs="Arial"/>
          <w:szCs w:val="28"/>
        </w:rPr>
        <w:t>The school takes the health and wellbeing of our staff and pupils very seriously. This policy has been designed in line with DfE and HSE guidance and details our responsibilities for pupils and staff members while out on educational visits and school trips.</w:t>
      </w:r>
    </w:p>
    <w:p w14:paraId="4C1DD7B6" w14:textId="3EE86F40" w:rsidR="006B21B0" w:rsidRDefault="006B21B0" w:rsidP="006B21B0">
      <w:pPr>
        <w:spacing w:before="120" w:after="120"/>
        <w:jc w:val="both"/>
      </w:pPr>
    </w:p>
    <w:p w14:paraId="1DC9D0B8" w14:textId="7600CB5B" w:rsidR="006B21B0" w:rsidRDefault="006B21B0" w:rsidP="006B21B0">
      <w:pPr>
        <w:spacing w:before="120" w:after="120"/>
        <w:ind w:left="417"/>
        <w:jc w:val="both"/>
        <w:rPr>
          <w:rFonts w:cs="Arial"/>
          <w:szCs w:val="28"/>
        </w:rPr>
      </w:pPr>
    </w:p>
    <w:p w14:paraId="17864B7C" w14:textId="77777777" w:rsidR="006B21B0" w:rsidRDefault="006B21B0" w:rsidP="006B21B0">
      <w:pPr>
        <w:spacing w:before="120" w:after="120"/>
        <w:ind w:left="417"/>
        <w:jc w:val="both"/>
      </w:pPr>
    </w:p>
    <w:p w14:paraId="6258D81E" w14:textId="77777777" w:rsidR="006B21B0" w:rsidRDefault="006B21B0" w:rsidP="006B21B0">
      <w:pPr>
        <w:spacing w:before="120" w:after="120"/>
        <w:ind w:left="417"/>
        <w:jc w:val="both"/>
      </w:pPr>
    </w:p>
    <w:p w14:paraId="0567D65C" w14:textId="77777777" w:rsidR="006B21B0" w:rsidRDefault="006B21B0" w:rsidP="006B21B0">
      <w:pPr>
        <w:spacing w:before="120" w:after="120"/>
        <w:ind w:left="417"/>
        <w:jc w:val="both"/>
      </w:pPr>
      <w:r>
        <w:t xml:space="preserve">   </w:t>
      </w:r>
    </w:p>
    <w:p w14:paraId="7B974AA1" w14:textId="77777777" w:rsidR="006B21B0" w:rsidRDefault="006B21B0" w:rsidP="006B21B0">
      <w:pPr>
        <w:spacing w:before="120" w:after="120"/>
        <w:jc w:val="both"/>
      </w:pPr>
      <w:bookmarkStart w:id="3" w:name="_GoBack"/>
      <w:bookmarkEnd w:id="3"/>
    </w:p>
    <w:tbl>
      <w:tblPr>
        <w:tblStyle w:val="TableGrid"/>
        <w:tblpPr w:leftFromText="180" w:rightFromText="180" w:vertAnchor="text" w:horzAnchor="margin" w:tblpY="362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6B21B0" w14:paraId="181E9020" w14:textId="77777777" w:rsidTr="008325C4">
        <w:trPr>
          <w:trHeight w:val="389"/>
        </w:trPr>
        <w:tc>
          <w:tcPr>
            <w:tcW w:w="9026" w:type="dxa"/>
            <w:gridSpan w:val="4"/>
            <w:vAlign w:val="center"/>
          </w:tcPr>
          <w:p w14:paraId="76170011" w14:textId="77777777" w:rsidR="006B21B0" w:rsidRDefault="006B21B0" w:rsidP="008325C4">
            <w:pPr>
              <w:spacing w:before="120" w:after="120" w:line="276" w:lineRule="auto"/>
              <w:jc w:val="both"/>
            </w:pPr>
          </w:p>
          <w:p w14:paraId="6B6A767F" w14:textId="77777777" w:rsidR="006B21B0" w:rsidRDefault="006B21B0" w:rsidP="008325C4">
            <w:pPr>
              <w:spacing w:before="120" w:after="120" w:line="276" w:lineRule="auto"/>
              <w:jc w:val="both"/>
            </w:pPr>
          </w:p>
          <w:p w14:paraId="6E50DCBF" w14:textId="77777777" w:rsidR="006B21B0" w:rsidRDefault="006B21B0" w:rsidP="008325C4">
            <w:pPr>
              <w:spacing w:before="120" w:after="120" w:line="276" w:lineRule="auto"/>
              <w:jc w:val="both"/>
            </w:pPr>
          </w:p>
          <w:p w14:paraId="2F3179E8" w14:textId="77777777" w:rsidR="006B21B0" w:rsidRDefault="006B21B0" w:rsidP="008325C4">
            <w:pPr>
              <w:spacing w:before="120" w:after="120" w:line="276" w:lineRule="auto"/>
              <w:jc w:val="both"/>
            </w:pPr>
            <w:r w:rsidRPr="007271AF">
              <w:t>Signed by</w:t>
            </w:r>
            <w:r>
              <w:t>:</w:t>
            </w:r>
          </w:p>
        </w:tc>
      </w:tr>
      <w:tr w:rsidR="006B21B0" w14:paraId="33CC7873" w14:textId="77777777" w:rsidTr="008325C4">
        <w:trPr>
          <w:trHeight w:val="624"/>
        </w:trPr>
        <w:tc>
          <w:tcPr>
            <w:tcW w:w="2813" w:type="dxa"/>
            <w:tcBorders>
              <w:bottom w:val="single" w:sz="2" w:space="0" w:color="auto"/>
            </w:tcBorders>
          </w:tcPr>
          <w:p w14:paraId="678BE31B" w14:textId="77777777" w:rsidR="006B21B0" w:rsidRPr="007271AF" w:rsidRDefault="006B21B0" w:rsidP="008325C4">
            <w:pPr>
              <w:spacing w:before="120" w:after="120" w:line="276" w:lineRule="auto"/>
              <w:jc w:val="both"/>
            </w:pPr>
          </w:p>
        </w:tc>
        <w:tc>
          <w:tcPr>
            <w:tcW w:w="2149" w:type="dxa"/>
            <w:vAlign w:val="bottom"/>
          </w:tcPr>
          <w:p w14:paraId="7C946795" w14:textId="77777777" w:rsidR="006B21B0" w:rsidRDefault="006B21B0" w:rsidP="008325C4">
            <w:pPr>
              <w:spacing w:before="120" w:after="120" w:line="276" w:lineRule="auto"/>
              <w:jc w:val="both"/>
            </w:pPr>
            <w:r w:rsidRPr="0066208C">
              <w:t>Headteacher</w:t>
            </w:r>
          </w:p>
        </w:tc>
        <w:tc>
          <w:tcPr>
            <w:tcW w:w="846" w:type="dxa"/>
            <w:vAlign w:val="bottom"/>
          </w:tcPr>
          <w:p w14:paraId="6456CB18" w14:textId="77777777" w:rsidR="006B21B0" w:rsidRDefault="006B21B0" w:rsidP="008325C4">
            <w:pPr>
              <w:spacing w:before="120" w:after="120" w:line="276" w:lineRule="auto"/>
              <w:jc w:val="both"/>
            </w:pPr>
            <w:r w:rsidRPr="007271AF">
              <w:t>Date:</w:t>
            </w:r>
          </w:p>
        </w:tc>
        <w:tc>
          <w:tcPr>
            <w:tcW w:w="3218" w:type="dxa"/>
            <w:tcBorders>
              <w:bottom w:val="single" w:sz="2" w:space="0" w:color="auto"/>
            </w:tcBorders>
          </w:tcPr>
          <w:p w14:paraId="70BA3D3E" w14:textId="77777777" w:rsidR="006B21B0" w:rsidRDefault="006B21B0" w:rsidP="008325C4">
            <w:pPr>
              <w:spacing w:before="120" w:after="120" w:line="276" w:lineRule="auto"/>
              <w:jc w:val="both"/>
            </w:pPr>
          </w:p>
        </w:tc>
      </w:tr>
      <w:tr w:rsidR="006B21B0" w14:paraId="3777D60B" w14:textId="77777777" w:rsidTr="008325C4">
        <w:trPr>
          <w:trHeight w:val="624"/>
        </w:trPr>
        <w:tc>
          <w:tcPr>
            <w:tcW w:w="2813" w:type="dxa"/>
            <w:tcBorders>
              <w:top w:val="single" w:sz="2" w:space="0" w:color="auto"/>
              <w:bottom w:val="single" w:sz="4" w:space="0" w:color="auto"/>
            </w:tcBorders>
          </w:tcPr>
          <w:p w14:paraId="4635903F" w14:textId="77777777" w:rsidR="006B21B0" w:rsidRPr="007271AF" w:rsidRDefault="006B21B0" w:rsidP="008325C4">
            <w:pPr>
              <w:spacing w:before="120" w:after="120" w:line="276" w:lineRule="auto"/>
              <w:jc w:val="both"/>
            </w:pPr>
          </w:p>
        </w:tc>
        <w:tc>
          <w:tcPr>
            <w:tcW w:w="2149" w:type="dxa"/>
            <w:vAlign w:val="bottom"/>
          </w:tcPr>
          <w:p w14:paraId="0FEB8AC5" w14:textId="77777777" w:rsidR="006B21B0" w:rsidRDefault="006B21B0" w:rsidP="008325C4">
            <w:pPr>
              <w:spacing w:before="120" w:after="120" w:line="276" w:lineRule="auto"/>
              <w:jc w:val="both"/>
              <w:rPr>
                <w:highlight w:val="lightGray"/>
              </w:rPr>
            </w:pPr>
            <w:r>
              <w:t>Chair of g</w:t>
            </w:r>
            <w:r w:rsidRPr="007271AF">
              <w:t>overnors</w:t>
            </w:r>
          </w:p>
        </w:tc>
        <w:tc>
          <w:tcPr>
            <w:tcW w:w="846" w:type="dxa"/>
            <w:vAlign w:val="bottom"/>
          </w:tcPr>
          <w:p w14:paraId="5A375ECA" w14:textId="77777777" w:rsidR="006B21B0" w:rsidRDefault="006B21B0" w:rsidP="008325C4">
            <w:pPr>
              <w:spacing w:before="120" w:after="120" w:line="276" w:lineRule="auto"/>
              <w:jc w:val="both"/>
            </w:pPr>
            <w:r w:rsidRPr="007271AF">
              <w:t>Date:</w:t>
            </w:r>
          </w:p>
        </w:tc>
        <w:tc>
          <w:tcPr>
            <w:tcW w:w="3218" w:type="dxa"/>
            <w:tcBorders>
              <w:top w:val="single" w:sz="2" w:space="0" w:color="auto"/>
              <w:bottom w:val="single" w:sz="4" w:space="0" w:color="auto"/>
            </w:tcBorders>
          </w:tcPr>
          <w:p w14:paraId="193C4034" w14:textId="77777777" w:rsidR="006B21B0" w:rsidRDefault="006B21B0" w:rsidP="008325C4">
            <w:pPr>
              <w:spacing w:before="120" w:after="120" w:line="276" w:lineRule="auto"/>
              <w:jc w:val="both"/>
            </w:pPr>
          </w:p>
        </w:tc>
      </w:tr>
    </w:tbl>
    <w:p w14:paraId="0B5B44F5" w14:textId="77777777" w:rsidR="006B21B0" w:rsidRDefault="006B21B0" w:rsidP="006B21B0">
      <w:pPr>
        <w:spacing w:before="120" w:after="120"/>
        <w:jc w:val="both"/>
      </w:pPr>
    </w:p>
    <w:p w14:paraId="47712021" w14:textId="77777777" w:rsidR="006B21B0" w:rsidRDefault="006B21B0" w:rsidP="006B21B0">
      <w:pPr>
        <w:spacing w:before="120" w:after="120"/>
        <w:jc w:val="both"/>
      </w:pPr>
    </w:p>
    <w:p w14:paraId="59EA6382" w14:textId="77777777" w:rsidR="006B21B0" w:rsidRDefault="006B21B0" w:rsidP="006B21B0">
      <w:pPr>
        <w:spacing w:before="120" w:after="120"/>
        <w:jc w:val="both"/>
      </w:pPr>
    </w:p>
    <w:p w14:paraId="0FF8640C" w14:textId="77777777" w:rsidR="006B21B0" w:rsidRDefault="006B21B0" w:rsidP="006B21B0">
      <w:pPr>
        <w:spacing w:before="120" w:after="120"/>
        <w:jc w:val="both"/>
      </w:pPr>
    </w:p>
    <w:p w14:paraId="4722D077" w14:textId="77777777" w:rsidR="006B21B0" w:rsidRDefault="006B21B0" w:rsidP="006B21B0">
      <w:pPr>
        <w:spacing w:before="120" w:after="120"/>
        <w:jc w:val="both"/>
      </w:pPr>
    </w:p>
    <w:p w14:paraId="1DA4303C" w14:textId="77777777" w:rsidR="006B21B0" w:rsidRDefault="006B21B0" w:rsidP="006B21B0">
      <w:pPr>
        <w:spacing w:before="120" w:after="120"/>
        <w:jc w:val="both"/>
      </w:pPr>
    </w:p>
    <w:p w14:paraId="3EDB40D1" w14:textId="77777777" w:rsidR="006B21B0" w:rsidRDefault="006B21B0" w:rsidP="006B21B0">
      <w:pPr>
        <w:spacing w:before="120" w:after="120"/>
        <w:jc w:val="both"/>
      </w:pPr>
    </w:p>
    <w:p w14:paraId="7C5275A7" w14:textId="77777777" w:rsidR="006B21B0" w:rsidRDefault="006B21B0" w:rsidP="006B21B0">
      <w:pPr>
        <w:spacing w:before="120" w:after="120"/>
        <w:jc w:val="both"/>
      </w:pPr>
    </w:p>
    <w:p w14:paraId="02787ECF" w14:textId="77777777" w:rsidR="006B21B0" w:rsidRDefault="006B21B0" w:rsidP="006B21B0">
      <w:pPr>
        <w:spacing w:before="120" w:after="120"/>
        <w:jc w:val="both"/>
        <w:sectPr w:rsidR="006B21B0" w:rsidSect="00A23725">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63A5777B" w14:textId="77777777" w:rsidR="006B21B0" w:rsidRPr="007B7475" w:rsidRDefault="006B21B0" w:rsidP="006B21B0">
      <w:pPr>
        <w:pStyle w:val="Heading10"/>
        <w:numPr>
          <w:ilvl w:val="0"/>
          <w:numId w:val="28"/>
        </w:numPr>
        <w:spacing w:before="120" w:after="120"/>
        <w:ind w:left="357" w:hanging="357"/>
        <w:contextualSpacing w:val="0"/>
        <w:jc w:val="both"/>
      </w:pPr>
      <w:bookmarkStart w:id="4" w:name="_Legal_framework_1"/>
      <w:bookmarkStart w:id="5" w:name="c"/>
      <w:bookmarkEnd w:id="4"/>
      <w:r>
        <w:lastRenderedPageBreak/>
        <w:t>Legal framework</w:t>
      </w:r>
    </w:p>
    <w:bookmarkEnd w:id="5"/>
    <w:p w14:paraId="5DE590F0" w14:textId="77777777" w:rsidR="006B21B0" w:rsidRPr="00EF4E0C" w:rsidRDefault="006B21B0" w:rsidP="006B21B0">
      <w:pPr>
        <w:pStyle w:val="TSB-Level1Numbers"/>
        <w:numPr>
          <w:ilvl w:val="1"/>
          <w:numId w:val="28"/>
        </w:numPr>
        <w:spacing w:before="120" w:after="120"/>
        <w:ind w:left="1480" w:hanging="482"/>
      </w:pPr>
      <w:r w:rsidRPr="00EF4E0C">
        <w:t xml:space="preserve">This policy has been created with regard to </w:t>
      </w:r>
      <w:r>
        <w:t>relevant</w:t>
      </w:r>
      <w:r w:rsidRPr="00EF4E0C">
        <w:t xml:space="preserve"> legislation including, but not limited to:</w:t>
      </w:r>
    </w:p>
    <w:p w14:paraId="4AF61D34" w14:textId="77777777" w:rsidR="006B21B0" w:rsidRPr="006C472E" w:rsidRDefault="006B21B0" w:rsidP="006B21B0">
      <w:pPr>
        <w:pStyle w:val="PolicyBullets"/>
        <w:spacing w:before="120" w:after="120"/>
        <w:contextualSpacing w:val="0"/>
        <w:jc w:val="both"/>
      </w:pPr>
      <w:r w:rsidRPr="006C472E">
        <w:t>The Health and Safety at Work etc. Act 1974</w:t>
      </w:r>
    </w:p>
    <w:p w14:paraId="5ECB41CF" w14:textId="77777777" w:rsidR="006B21B0" w:rsidRPr="00EF4E0C" w:rsidRDefault="006B21B0" w:rsidP="006B21B0">
      <w:pPr>
        <w:pStyle w:val="TSB-Level1Numbers"/>
        <w:numPr>
          <w:ilvl w:val="1"/>
          <w:numId w:val="28"/>
        </w:numPr>
        <w:spacing w:before="120" w:after="120"/>
        <w:ind w:left="1480" w:hanging="482"/>
      </w:pPr>
      <w:r w:rsidRPr="00EF4E0C">
        <w:t>This policy has also been created with due regard to the following guidance:</w:t>
      </w:r>
    </w:p>
    <w:p w14:paraId="36A88DF2" w14:textId="77777777" w:rsidR="006B21B0" w:rsidRPr="00FC7D87" w:rsidRDefault="006B21B0" w:rsidP="006B21B0">
      <w:pPr>
        <w:pStyle w:val="PolicyBullets"/>
        <w:spacing w:before="120" w:after="120"/>
        <w:contextualSpacing w:val="0"/>
        <w:jc w:val="both"/>
      </w:pPr>
      <w:r w:rsidRPr="00FC7D87">
        <w:t>DfE (2018) ‘Charging for school activities’</w:t>
      </w:r>
    </w:p>
    <w:p w14:paraId="7B5A5E64" w14:textId="2EA984D8" w:rsidR="006B21B0" w:rsidRPr="00FC7D87" w:rsidRDefault="006B21B0" w:rsidP="006B21B0">
      <w:pPr>
        <w:pStyle w:val="PolicyBullets"/>
        <w:spacing w:before="120" w:after="120"/>
        <w:contextualSpacing w:val="0"/>
        <w:jc w:val="both"/>
      </w:pPr>
      <w:r w:rsidRPr="00FC7D87">
        <w:t>DfE (201</w:t>
      </w:r>
      <w:r>
        <w:t>8</w:t>
      </w:r>
      <w:r w:rsidRPr="00FC7D87">
        <w:t>) ‘Health and safety</w:t>
      </w:r>
      <w:r>
        <w:t xml:space="preserve"> on educational visits’</w:t>
      </w:r>
    </w:p>
    <w:p w14:paraId="54E42E98" w14:textId="77777777" w:rsidR="006B21B0" w:rsidRPr="00FC7D87" w:rsidRDefault="006B21B0" w:rsidP="006B21B0">
      <w:pPr>
        <w:pStyle w:val="PolicyBullets"/>
        <w:spacing w:before="120" w:after="120"/>
        <w:contextualSpacing w:val="0"/>
        <w:jc w:val="both"/>
      </w:pPr>
      <w:r w:rsidRPr="00FC7D87">
        <w:t xml:space="preserve">HSE (2011) ‘School trips and outdoor learning activities’ </w:t>
      </w:r>
    </w:p>
    <w:p w14:paraId="50DC5842" w14:textId="385A24BE" w:rsidR="006B21B0" w:rsidRPr="00EF4E0C" w:rsidRDefault="006B21B0" w:rsidP="006B21B0">
      <w:pPr>
        <w:pStyle w:val="PolicyBullets"/>
        <w:numPr>
          <w:ilvl w:val="0"/>
          <w:numId w:val="0"/>
        </w:numPr>
        <w:spacing w:before="120"/>
        <w:ind w:left="1922"/>
        <w:contextualSpacing w:val="0"/>
        <w:jc w:val="both"/>
      </w:pPr>
      <w:r w:rsidRPr="00EF4E0C">
        <w:br/>
      </w:r>
    </w:p>
    <w:p w14:paraId="3032AA0E" w14:textId="77777777" w:rsidR="006B21B0" w:rsidRPr="00EF4E0C" w:rsidRDefault="006B21B0" w:rsidP="006B21B0">
      <w:pPr>
        <w:pStyle w:val="TSB-Level1Numbers"/>
        <w:numPr>
          <w:ilvl w:val="1"/>
          <w:numId w:val="28"/>
        </w:numPr>
        <w:spacing w:after="120"/>
        <w:ind w:left="1480" w:hanging="482"/>
      </w:pPr>
      <w:r w:rsidRPr="00EF4E0C">
        <w:t xml:space="preserve">This policy should be used in conjunction with the following school policies: </w:t>
      </w:r>
    </w:p>
    <w:p w14:paraId="22B298E7" w14:textId="77777777" w:rsidR="006B21B0" w:rsidRPr="006B21B0" w:rsidRDefault="006B21B0" w:rsidP="006B21B0">
      <w:pPr>
        <w:pStyle w:val="PolicyBullets"/>
        <w:spacing w:before="120" w:after="120"/>
        <w:ind w:left="1922" w:hanging="357"/>
        <w:contextualSpacing w:val="0"/>
        <w:jc w:val="both"/>
      </w:pPr>
      <w:r w:rsidRPr="006B21B0">
        <w:t>Complaints Procedures Policy</w:t>
      </w:r>
    </w:p>
    <w:p w14:paraId="38A0AA23" w14:textId="77777777" w:rsidR="006B21B0" w:rsidRPr="006B21B0" w:rsidRDefault="006B21B0" w:rsidP="006B21B0">
      <w:pPr>
        <w:pStyle w:val="PolicyBullets"/>
        <w:spacing w:before="120" w:after="120"/>
        <w:ind w:left="1922" w:hanging="357"/>
        <w:contextualSpacing w:val="0"/>
        <w:jc w:val="both"/>
      </w:pPr>
      <w:r w:rsidRPr="006B21B0">
        <w:t xml:space="preserve">Behavioural Policy </w:t>
      </w:r>
    </w:p>
    <w:p w14:paraId="06ABE0DA" w14:textId="77777777" w:rsidR="006B21B0" w:rsidRPr="006B21B0" w:rsidRDefault="006B21B0" w:rsidP="006B21B0">
      <w:pPr>
        <w:pStyle w:val="PolicyBullets"/>
        <w:spacing w:before="120" w:after="120"/>
        <w:ind w:left="1922" w:hanging="357"/>
        <w:contextualSpacing w:val="0"/>
        <w:jc w:val="both"/>
      </w:pPr>
      <w:r w:rsidRPr="006B21B0">
        <w:t>Critical Incident Policy</w:t>
      </w:r>
    </w:p>
    <w:p w14:paraId="0ADDC066" w14:textId="77777777" w:rsidR="006B21B0" w:rsidRPr="006B21B0" w:rsidRDefault="006B21B0" w:rsidP="006B21B0">
      <w:pPr>
        <w:pStyle w:val="PolicyBullets"/>
        <w:spacing w:before="120" w:after="120"/>
        <w:ind w:left="1922" w:hanging="357"/>
        <w:contextualSpacing w:val="0"/>
        <w:jc w:val="both"/>
      </w:pPr>
      <w:r w:rsidRPr="006B21B0">
        <w:t>Health and Safety Policy</w:t>
      </w:r>
    </w:p>
    <w:p w14:paraId="782ABB2E" w14:textId="77777777" w:rsidR="006B21B0" w:rsidRPr="004305F8" w:rsidRDefault="1F78999C" w:rsidP="006B21B0">
      <w:pPr>
        <w:pStyle w:val="PolicyBullets"/>
        <w:spacing w:before="120" w:after="120"/>
        <w:ind w:left="1922" w:hanging="357"/>
        <w:contextualSpacing w:val="0"/>
        <w:jc w:val="both"/>
      </w:pPr>
      <w:r w:rsidRPr="004305F8">
        <w:t>Charging and Remissions Policy</w:t>
      </w:r>
    </w:p>
    <w:p w14:paraId="4D17899F" w14:textId="77777777" w:rsidR="006B21B0" w:rsidRPr="006B21B0" w:rsidRDefault="006B21B0" w:rsidP="006B21B0">
      <w:pPr>
        <w:pStyle w:val="PolicyBullets"/>
        <w:spacing w:before="120" w:after="120"/>
        <w:ind w:left="1922" w:hanging="357"/>
        <w:contextualSpacing w:val="0"/>
        <w:jc w:val="both"/>
      </w:pPr>
      <w:r w:rsidRPr="006B21B0">
        <w:t>Equal Opportunities Policy</w:t>
      </w:r>
    </w:p>
    <w:p w14:paraId="0AC3CD17" w14:textId="77777777" w:rsidR="006B21B0" w:rsidRDefault="006B21B0" w:rsidP="006B21B0">
      <w:pPr>
        <w:pStyle w:val="Heading10"/>
        <w:numPr>
          <w:ilvl w:val="0"/>
          <w:numId w:val="28"/>
        </w:numPr>
        <w:spacing w:before="120" w:after="120"/>
        <w:ind w:left="357" w:hanging="357"/>
        <w:contextualSpacing w:val="0"/>
        <w:jc w:val="both"/>
      </w:pPr>
      <w:bookmarkStart w:id="6" w:name="_Definitions"/>
      <w:bookmarkEnd w:id="6"/>
      <w:r>
        <w:t>Definitions</w:t>
      </w:r>
    </w:p>
    <w:p w14:paraId="149FAA99" w14:textId="77777777" w:rsidR="006B21B0" w:rsidRDefault="006B21B0" w:rsidP="006B21B0">
      <w:pPr>
        <w:pStyle w:val="TSB-Level1Numbers"/>
        <w:numPr>
          <w:ilvl w:val="1"/>
          <w:numId w:val="28"/>
        </w:numPr>
        <w:spacing w:before="120" w:after="120"/>
        <w:ind w:left="1480" w:hanging="482"/>
      </w:pPr>
      <w:r w:rsidRPr="006C472E">
        <w:rPr>
          <w:b/>
        </w:rPr>
        <w:t>‘In loco parentis’</w:t>
      </w:r>
      <w:r w:rsidRPr="006C472E">
        <w:t xml:space="preserve"> means that the group leader of any school trip or educational visit has a duty of care over the pupils in place of a parent.</w:t>
      </w:r>
    </w:p>
    <w:p w14:paraId="4C606EBF" w14:textId="77777777" w:rsidR="006B21B0" w:rsidRDefault="006B21B0" w:rsidP="006B21B0">
      <w:pPr>
        <w:pStyle w:val="TSB-Level1Numbers"/>
        <w:numPr>
          <w:ilvl w:val="1"/>
          <w:numId w:val="28"/>
        </w:numPr>
        <w:spacing w:before="120" w:after="120"/>
        <w:ind w:left="1480" w:hanging="482"/>
      </w:pPr>
      <w:r w:rsidRPr="006C472E">
        <w:rPr>
          <w:b/>
        </w:rPr>
        <w:t>‘School trip’</w:t>
      </w:r>
      <w:r w:rsidRPr="006C472E">
        <w:t xml:space="preserve"> means any educational visit, foreign exchange trip, away-day or residential holiday organised by the school which takes pupils and staff members off-site.</w:t>
      </w:r>
    </w:p>
    <w:p w14:paraId="2A8573F3" w14:textId="77777777" w:rsidR="006B21B0" w:rsidRPr="006C472E" w:rsidRDefault="006B21B0" w:rsidP="006B21B0">
      <w:pPr>
        <w:pStyle w:val="TSB-Level1Numbers"/>
        <w:numPr>
          <w:ilvl w:val="1"/>
          <w:numId w:val="28"/>
        </w:numPr>
        <w:spacing w:before="120" w:after="120"/>
        <w:ind w:left="1480" w:hanging="482"/>
      </w:pPr>
      <w:r w:rsidRPr="006C472E">
        <w:rPr>
          <w:b/>
        </w:rPr>
        <w:t>‘Residential’</w:t>
      </w:r>
      <w:r w:rsidRPr="006C472E">
        <w:t xml:space="preserve"> means any school trip which includes an overnight stay.</w:t>
      </w:r>
    </w:p>
    <w:p w14:paraId="5CBDED98" w14:textId="77777777" w:rsidR="006B21B0" w:rsidRPr="00EF4E0C" w:rsidRDefault="006B21B0" w:rsidP="006B21B0">
      <w:pPr>
        <w:pStyle w:val="TSB-Level1Numbers"/>
        <w:numPr>
          <w:ilvl w:val="1"/>
          <w:numId w:val="28"/>
        </w:numPr>
        <w:spacing w:before="120" w:after="120"/>
        <w:ind w:left="1480" w:hanging="482"/>
      </w:pPr>
      <w:r w:rsidRPr="00EF4E0C">
        <w:t xml:space="preserve">Activities of an </w:t>
      </w:r>
      <w:r w:rsidRPr="008F0775">
        <w:rPr>
          <w:b/>
        </w:rPr>
        <w:t>‘</w:t>
      </w:r>
      <w:r w:rsidRPr="00EF4E0C">
        <w:rPr>
          <w:b/>
        </w:rPr>
        <w:t>adventurous nature’</w:t>
      </w:r>
      <w:r w:rsidRPr="00EF4E0C">
        <w:t xml:space="preserve"> include, but are not limited to, the following:</w:t>
      </w:r>
    </w:p>
    <w:p w14:paraId="7D50C285" w14:textId="77777777" w:rsidR="006B21B0" w:rsidRPr="00FC7D87" w:rsidRDefault="006B21B0" w:rsidP="006B21B0">
      <w:pPr>
        <w:pStyle w:val="PolicyBullets"/>
        <w:spacing w:before="120" w:after="120"/>
        <w:contextualSpacing w:val="0"/>
        <w:jc w:val="both"/>
      </w:pPr>
      <w:r w:rsidRPr="00FC7D87">
        <w:t>Trekking</w:t>
      </w:r>
    </w:p>
    <w:p w14:paraId="1E437482" w14:textId="77777777" w:rsidR="006B21B0" w:rsidRPr="00FC7D87" w:rsidRDefault="006B21B0" w:rsidP="006B21B0">
      <w:pPr>
        <w:pStyle w:val="PolicyBullets"/>
        <w:spacing w:before="120" w:after="120"/>
        <w:contextualSpacing w:val="0"/>
        <w:jc w:val="both"/>
      </w:pPr>
      <w:r w:rsidRPr="00FC7D87">
        <w:t>Caving</w:t>
      </w:r>
    </w:p>
    <w:p w14:paraId="1CD97360" w14:textId="77777777" w:rsidR="006B21B0" w:rsidRPr="00FC7D87" w:rsidRDefault="006B21B0" w:rsidP="006B21B0">
      <w:pPr>
        <w:pStyle w:val="PolicyBullets"/>
        <w:spacing w:before="120" w:after="120"/>
        <w:contextualSpacing w:val="0"/>
        <w:jc w:val="both"/>
      </w:pPr>
      <w:r w:rsidRPr="00FC7D87">
        <w:t>Skiing</w:t>
      </w:r>
    </w:p>
    <w:p w14:paraId="5D2BDCAD" w14:textId="77777777" w:rsidR="006B21B0" w:rsidRPr="00FC7D87" w:rsidRDefault="006B21B0" w:rsidP="006B21B0">
      <w:pPr>
        <w:pStyle w:val="PolicyBullets"/>
        <w:spacing w:before="120" w:after="120"/>
        <w:contextualSpacing w:val="0"/>
        <w:jc w:val="both"/>
      </w:pPr>
      <w:r w:rsidRPr="00FC7D87">
        <w:t>Water sports</w:t>
      </w:r>
    </w:p>
    <w:p w14:paraId="76BDB887" w14:textId="77777777" w:rsidR="006B21B0" w:rsidRDefault="006B21B0" w:rsidP="006B21B0">
      <w:pPr>
        <w:pStyle w:val="PolicyBullets"/>
        <w:spacing w:before="120" w:after="120"/>
        <w:contextualSpacing w:val="0"/>
        <w:jc w:val="both"/>
      </w:pPr>
      <w:r w:rsidRPr="00FC7D87">
        <w:lastRenderedPageBreak/>
        <w:t>Climbing</w:t>
      </w:r>
    </w:p>
    <w:p w14:paraId="78760C88" w14:textId="57CBDF34" w:rsidR="006B21B0" w:rsidRDefault="006B21B0" w:rsidP="008B64EB">
      <w:pPr>
        <w:pStyle w:val="PolicyBullets"/>
        <w:numPr>
          <w:ilvl w:val="0"/>
          <w:numId w:val="0"/>
        </w:numPr>
        <w:spacing w:before="120" w:after="120"/>
        <w:ind w:left="1925" w:hanging="360"/>
        <w:contextualSpacing w:val="0"/>
        <w:jc w:val="both"/>
      </w:pPr>
    </w:p>
    <w:p w14:paraId="433EC0D5" w14:textId="59787748" w:rsidR="008B64EB" w:rsidRDefault="008B64EB" w:rsidP="008B64EB">
      <w:pPr>
        <w:pStyle w:val="PolicyBullets"/>
        <w:numPr>
          <w:ilvl w:val="0"/>
          <w:numId w:val="0"/>
        </w:numPr>
        <w:spacing w:before="120" w:after="120"/>
        <w:ind w:left="1925" w:hanging="360"/>
        <w:contextualSpacing w:val="0"/>
        <w:jc w:val="both"/>
      </w:pPr>
    </w:p>
    <w:p w14:paraId="7D84DF11" w14:textId="77777777" w:rsidR="008B64EB" w:rsidRDefault="008B64EB" w:rsidP="008B64EB">
      <w:pPr>
        <w:pStyle w:val="PolicyBullets"/>
        <w:numPr>
          <w:ilvl w:val="0"/>
          <w:numId w:val="0"/>
        </w:numPr>
        <w:spacing w:before="120" w:after="120"/>
        <w:ind w:left="1925" w:hanging="360"/>
        <w:contextualSpacing w:val="0"/>
        <w:jc w:val="both"/>
      </w:pPr>
    </w:p>
    <w:p w14:paraId="63CBA8DA" w14:textId="77777777" w:rsidR="006B21B0" w:rsidRDefault="006B21B0" w:rsidP="006B21B0">
      <w:pPr>
        <w:pStyle w:val="Heading10"/>
        <w:numPr>
          <w:ilvl w:val="0"/>
          <w:numId w:val="28"/>
        </w:numPr>
        <w:spacing w:before="120" w:after="120"/>
        <w:ind w:left="357" w:hanging="357"/>
        <w:contextualSpacing w:val="0"/>
        <w:jc w:val="both"/>
      </w:pPr>
      <w:bookmarkStart w:id="7" w:name="_Key_roles_and_1"/>
      <w:bookmarkStart w:id="8" w:name="_Key_roles_and"/>
      <w:bookmarkEnd w:id="7"/>
      <w:bookmarkEnd w:id="8"/>
      <w:r w:rsidRPr="006C472E">
        <w:t>Key roles and responsibilities</w:t>
      </w:r>
    </w:p>
    <w:p w14:paraId="17199F52" w14:textId="1B0AFF14" w:rsidR="006B21B0" w:rsidRPr="00EF4E0C" w:rsidRDefault="006B21B0" w:rsidP="006B21B0">
      <w:pPr>
        <w:pStyle w:val="TSB-Level1Numbers"/>
        <w:numPr>
          <w:ilvl w:val="1"/>
          <w:numId w:val="28"/>
        </w:numPr>
        <w:spacing w:before="120" w:after="120"/>
        <w:ind w:left="1480" w:hanging="482"/>
      </w:pPr>
      <w:r w:rsidRPr="00EF4E0C">
        <w:t>The</w:t>
      </w:r>
      <w:r w:rsidRPr="00EF4E0C">
        <w:rPr>
          <w:b/>
          <w:color w:val="FFD006"/>
        </w:rPr>
        <w:t xml:space="preserve"> </w:t>
      </w:r>
      <w:r w:rsidR="008B64EB" w:rsidRPr="008B64EB">
        <w:rPr>
          <w:b/>
        </w:rPr>
        <w:t>Management Committee</w:t>
      </w:r>
      <w:r w:rsidRPr="008B64EB">
        <w:t xml:space="preserve"> is </w:t>
      </w:r>
      <w:r w:rsidRPr="00EF4E0C">
        <w:t>responsible for:</w:t>
      </w:r>
    </w:p>
    <w:p w14:paraId="4D01C463" w14:textId="77777777" w:rsidR="006B21B0" w:rsidRPr="00FC7D87" w:rsidRDefault="006B21B0" w:rsidP="006B21B0">
      <w:pPr>
        <w:pStyle w:val="PolicyBullets"/>
        <w:spacing w:before="120" w:after="120"/>
        <w:contextualSpacing w:val="0"/>
        <w:jc w:val="both"/>
      </w:pPr>
      <w:r w:rsidRPr="00FC7D87">
        <w:t>The overall implementation of this policy.</w:t>
      </w:r>
    </w:p>
    <w:p w14:paraId="57D7DB43" w14:textId="77777777" w:rsidR="006B21B0" w:rsidRPr="00FC7D87" w:rsidRDefault="006B21B0" w:rsidP="006B21B0">
      <w:pPr>
        <w:pStyle w:val="PolicyBullets"/>
        <w:spacing w:before="120" w:after="120"/>
        <w:contextualSpacing w:val="0"/>
        <w:jc w:val="both"/>
      </w:pPr>
      <w:r w:rsidRPr="00FC7D87">
        <w:t>Ensuring that this policy, as written, does not discriminate on any grounds including, but not limited to: ethnicity/national origin, culture, religion, gender, disability or sexual orientation.</w:t>
      </w:r>
    </w:p>
    <w:p w14:paraId="0F037641" w14:textId="77777777" w:rsidR="006B21B0" w:rsidRPr="00FC7D87" w:rsidRDefault="006B21B0" w:rsidP="006B21B0">
      <w:pPr>
        <w:pStyle w:val="PolicyBullets"/>
        <w:spacing w:before="120" w:after="120"/>
        <w:contextualSpacing w:val="0"/>
        <w:jc w:val="both"/>
      </w:pPr>
      <w:r w:rsidRPr="00FC7D87">
        <w:t xml:space="preserve">Handling complaints regarding this policy as outlined in the school’s </w:t>
      </w:r>
      <w:r w:rsidRPr="008B64EB">
        <w:t>Complaints Procedures Policy</w:t>
      </w:r>
      <w:r w:rsidRPr="00FC7D87">
        <w:t xml:space="preserve">. </w:t>
      </w:r>
    </w:p>
    <w:p w14:paraId="12DC5815" w14:textId="77777777" w:rsidR="006B21B0" w:rsidRPr="00FC7D87" w:rsidRDefault="006B21B0" w:rsidP="006B21B0">
      <w:pPr>
        <w:pStyle w:val="PolicyBullets"/>
        <w:spacing w:before="120" w:after="120"/>
        <w:contextualSpacing w:val="0"/>
        <w:jc w:val="both"/>
      </w:pPr>
      <w:r w:rsidRPr="00FC7D87">
        <w:t>Ensuring educational trips and visits positively impact on pupils’ lives, teaching them new life skills and</w:t>
      </w:r>
      <w:r>
        <w:t xml:space="preserve"> providing new</w:t>
      </w:r>
      <w:r w:rsidRPr="00FC7D87">
        <w:t xml:space="preserve"> experiences. </w:t>
      </w:r>
    </w:p>
    <w:p w14:paraId="2A2BE783" w14:textId="77777777" w:rsidR="006B21B0" w:rsidRPr="00FC7D87" w:rsidRDefault="006B21B0" w:rsidP="006B21B0">
      <w:pPr>
        <w:pStyle w:val="PolicyBullets"/>
        <w:spacing w:before="120" w:after="120"/>
        <w:contextualSpacing w:val="0"/>
        <w:jc w:val="both"/>
      </w:pPr>
      <w:r w:rsidRPr="00FC7D87">
        <w:t xml:space="preserve">Promoting good safeguarding practices to ensure the safety of pupils when partaking in extra-curricular trips and activities. </w:t>
      </w:r>
    </w:p>
    <w:p w14:paraId="715D43CF" w14:textId="77777777" w:rsidR="006B21B0" w:rsidRDefault="006B21B0" w:rsidP="006B21B0">
      <w:pPr>
        <w:pStyle w:val="TSB-Level1Numbers"/>
        <w:numPr>
          <w:ilvl w:val="1"/>
          <w:numId w:val="28"/>
        </w:numPr>
        <w:spacing w:before="120" w:after="120"/>
        <w:ind w:left="1480" w:hanging="482"/>
      </w:pPr>
      <w:r>
        <w:t xml:space="preserve">The </w:t>
      </w:r>
      <w:r w:rsidRPr="008B64EB">
        <w:rPr>
          <w:b/>
        </w:rPr>
        <w:t>headteacher</w:t>
      </w:r>
      <w:r>
        <w:t xml:space="preserve"> is responsible for:</w:t>
      </w:r>
    </w:p>
    <w:p w14:paraId="21FF5762" w14:textId="77777777" w:rsidR="006B21B0" w:rsidRPr="00FC7D87" w:rsidRDefault="006B21B0" w:rsidP="006B21B0">
      <w:pPr>
        <w:pStyle w:val="PolicyBullets"/>
        <w:spacing w:before="120" w:after="120"/>
        <w:contextualSpacing w:val="0"/>
        <w:jc w:val="both"/>
      </w:pPr>
      <w:r w:rsidRPr="00FC7D87">
        <w:t>The day-to-day implementation and management of this policy.</w:t>
      </w:r>
    </w:p>
    <w:p w14:paraId="5BC815C1" w14:textId="0811FF69" w:rsidR="006B21B0" w:rsidRPr="00FC7D87" w:rsidRDefault="006B21B0" w:rsidP="006B21B0">
      <w:pPr>
        <w:pStyle w:val="PolicyBullets"/>
        <w:spacing w:before="120" w:after="120"/>
        <w:contextualSpacing w:val="0"/>
        <w:jc w:val="both"/>
      </w:pPr>
      <w:r>
        <w:t xml:space="preserve">Appointing an educational visits coordinator, liaising with the </w:t>
      </w:r>
      <w:r w:rsidRPr="008B64EB">
        <w:t>LA</w:t>
      </w:r>
      <w:r>
        <w:t xml:space="preserve"> as necessary to ensure the correct appointment is made.</w:t>
      </w:r>
    </w:p>
    <w:p w14:paraId="25F76E13" w14:textId="77777777" w:rsidR="006B21B0" w:rsidRPr="00FC7D87" w:rsidRDefault="006B21B0" w:rsidP="006B21B0">
      <w:pPr>
        <w:pStyle w:val="PolicyBullets"/>
        <w:spacing w:before="120" w:after="120"/>
        <w:contextualSpacing w:val="0"/>
        <w:jc w:val="both"/>
      </w:pPr>
      <w:r w:rsidRPr="00FC7D87">
        <w:t xml:space="preserve">Liaising with the educational visits coordinator and communicating information regarding any planned trips to parents.  </w:t>
      </w:r>
    </w:p>
    <w:p w14:paraId="20468407" w14:textId="1EAE7DB4" w:rsidR="006B21B0" w:rsidRPr="00FC7D87" w:rsidRDefault="006B21B0" w:rsidP="006B21B0">
      <w:pPr>
        <w:pStyle w:val="PolicyBullets"/>
        <w:spacing w:before="120" w:after="120"/>
        <w:contextualSpacing w:val="0"/>
        <w:jc w:val="both"/>
      </w:pPr>
      <w:r w:rsidRPr="00FC7D87">
        <w:t xml:space="preserve">Liaising with the </w:t>
      </w:r>
      <w:r w:rsidR="008B64EB">
        <w:t>management committee</w:t>
      </w:r>
      <w:r w:rsidRPr="00FC7D87">
        <w:t xml:space="preserve"> regarding the organisation of extra-curricular trips and activities, including settling any disputes. </w:t>
      </w:r>
    </w:p>
    <w:p w14:paraId="4C43D211" w14:textId="77777777" w:rsidR="006B21B0" w:rsidRPr="00FC7D87" w:rsidRDefault="006B21B0" w:rsidP="006B21B0">
      <w:pPr>
        <w:pStyle w:val="PolicyBullets"/>
        <w:spacing w:before="120" w:after="120"/>
        <w:contextualSpacing w:val="0"/>
        <w:jc w:val="both"/>
      </w:pPr>
      <w:r w:rsidRPr="00FC7D87">
        <w:t xml:space="preserve">Being part of the approval process for extra-curricular trips and activities. </w:t>
      </w:r>
    </w:p>
    <w:p w14:paraId="60DEA1A0" w14:textId="27192D3F" w:rsidR="006B21B0" w:rsidRPr="00FC7D87" w:rsidRDefault="006B21B0" w:rsidP="006B21B0">
      <w:pPr>
        <w:pStyle w:val="PolicyBullets"/>
        <w:spacing w:before="120" w:after="120"/>
        <w:contextualSpacing w:val="0"/>
        <w:jc w:val="both"/>
      </w:pPr>
      <w:r w:rsidRPr="00FC7D87">
        <w:t>Ensuring the educational visits coordinator is competent to oversee the coordination of off-site education</w:t>
      </w:r>
      <w:r>
        <w:t>, and arranging for training to be undertaken as necessary.</w:t>
      </w:r>
    </w:p>
    <w:p w14:paraId="57EB73F4" w14:textId="77777777" w:rsidR="006B21B0" w:rsidRPr="00FC7D87" w:rsidRDefault="006B21B0" w:rsidP="006B21B0">
      <w:pPr>
        <w:pStyle w:val="PolicyBullets"/>
        <w:spacing w:before="120" w:after="120"/>
        <w:contextualSpacing w:val="0"/>
        <w:jc w:val="both"/>
      </w:pPr>
      <w:r w:rsidRPr="00FC7D87">
        <w:t xml:space="preserve">Completing relevant paperwork, including risk assessments, for extra-curricular trips and activities. </w:t>
      </w:r>
    </w:p>
    <w:p w14:paraId="7ECC4901" w14:textId="77777777" w:rsidR="006B21B0" w:rsidRPr="00FC7D87" w:rsidRDefault="006B21B0" w:rsidP="006B21B0">
      <w:pPr>
        <w:pStyle w:val="PolicyBullets"/>
        <w:spacing w:before="120" w:after="120"/>
        <w:contextualSpacing w:val="0"/>
        <w:jc w:val="both"/>
      </w:pPr>
      <w:r w:rsidRPr="00FC7D87">
        <w:t xml:space="preserve">Ensuring suitable safety measures are in place prior to each trip or activity. </w:t>
      </w:r>
    </w:p>
    <w:p w14:paraId="7E19A4BE" w14:textId="77777777" w:rsidR="006B21B0" w:rsidRPr="00FC7D87" w:rsidRDefault="006B21B0" w:rsidP="006B21B0">
      <w:pPr>
        <w:pStyle w:val="PolicyBullets"/>
        <w:spacing w:before="120" w:after="120"/>
        <w:contextualSpacing w:val="0"/>
        <w:jc w:val="both"/>
      </w:pPr>
      <w:r w:rsidRPr="00FC7D87">
        <w:lastRenderedPageBreak/>
        <w:t>Overseeing the work of the educational visits coordinator, ensuring a whole-school approach is adopted when planning and coordinating extra-curricular trips and activities.</w:t>
      </w:r>
    </w:p>
    <w:p w14:paraId="38D2171E" w14:textId="77777777" w:rsidR="006B21B0" w:rsidRDefault="006B21B0" w:rsidP="006B21B0">
      <w:pPr>
        <w:pStyle w:val="PolicyBullets"/>
        <w:spacing w:before="120" w:after="120"/>
        <w:contextualSpacing w:val="0"/>
        <w:jc w:val="both"/>
      </w:pPr>
      <w:r w:rsidRPr="00FC7D87">
        <w:t>Ensuring there are contingency plans</w:t>
      </w:r>
      <w:r>
        <w:t xml:space="preserve"> in place</w:t>
      </w:r>
      <w:r w:rsidRPr="00FC7D87">
        <w:t xml:space="preserve"> in the event of a member of staff being absent on the day of the trip or activity.</w:t>
      </w:r>
    </w:p>
    <w:p w14:paraId="6ECDAABE" w14:textId="0BE98EF9" w:rsidR="006B21B0" w:rsidRPr="00EF4E0C" w:rsidRDefault="006B21B0" w:rsidP="006B21B0">
      <w:pPr>
        <w:pStyle w:val="TSB-Level1Numbers"/>
        <w:numPr>
          <w:ilvl w:val="1"/>
          <w:numId w:val="28"/>
        </w:numPr>
        <w:spacing w:before="120" w:after="120"/>
        <w:ind w:left="1480" w:hanging="482"/>
      </w:pPr>
      <w:r w:rsidRPr="00EF4E0C">
        <w:t xml:space="preserve">The </w:t>
      </w:r>
      <w:r w:rsidRPr="008B64EB">
        <w:rPr>
          <w:rFonts w:asciiTheme="minorHAnsi" w:hAnsiTheme="minorHAnsi" w:cstheme="minorBidi"/>
          <w:b/>
          <w:szCs w:val="22"/>
        </w:rPr>
        <w:t>educational visits coordinator</w:t>
      </w:r>
      <w:r w:rsidRPr="00EF4E0C">
        <w:rPr>
          <w:b/>
          <w:color w:val="FFD006"/>
        </w:rPr>
        <w:t xml:space="preserve"> </w:t>
      </w:r>
      <w:r w:rsidRPr="00EF4E0C">
        <w:t>has overall responsibility for:</w:t>
      </w:r>
    </w:p>
    <w:p w14:paraId="631C3AD9" w14:textId="77777777" w:rsidR="006B21B0" w:rsidRPr="00FC7D87" w:rsidRDefault="006B21B0" w:rsidP="006B21B0">
      <w:pPr>
        <w:pStyle w:val="PolicyBullets"/>
        <w:spacing w:before="120" w:after="120"/>
        <w:contextualSpacing w:val="0"/>
        <w:jc w:val="both"/>
      </w:pPr>
      <w:r w:rsidRPr="00FC7D87">
        <w:t>Overseeing all issues and controls regarding extra-curricular activities and trips.</w:t>
      </w:r>
    </w:p>
    <w:p w14:paraId="4D0A928A" w14:textId="3261F611" w:rsidR="006B21B0" w:rsidRDefault="006B21B0" w:rsidP="006B21B0">
      <w:pPr>
        <w:pStyle w:val="PolicyBullets"/>
        <w:spacing w:before="120" w:after="120"/>
        <w:contextualSpacing w:val="0"/>
        <w:jc w:val="both"/>
      </w:pPr>
      <w:r w:rsidRPr="00FC7D87">
        <w:t>Liaising between all appropriate parties</w:t>
      </w:r>
      <w:r>
        <w:t>, including the local outdoor education adviser,</w:t>
      </w:r>
      <w:r w:rsidRPr="00FC7D87">
        <w:t xml:space="preserve"> during </w:t>
      </w:r>
      <w:r>
        <w:t xml:space="preserve">the </w:t>
      </w:r>
      <w:r w:rsidRPr="00FC7D87">
        <w:t>planning and organis</w:t>
      </w:r>
      <w:r>
        <w:t>ing</w:t>
      </w:r>
      <w:r w:rsidRPr="00FC7D87">
        <w:t xml:space="preserve"> of extra-curricular activities and trips. </w:t>
      </w:r>
    </w:p>
    <w:p w14:paraId="29A48DB4" w14:textId="118B704C" w:rsidR="006B21B0" w:rsidRPr="00FC7D87" w:rsidRDefault="006B21B0" w:rsidP="006B21B0">
      <w:pPr>
        <w:pStyle w:val="PolicyBullets"/>
        <w:spacing w:before="120" w:after="120"/>
        <w:contextualSpacing w:val="0"/>
        <w:jc w:val="both"/>
      </w:pPr>
      <w:r>
        <w:t>Working with the local outdoor education adviser to help staff assess and manage risks.</w:t>
      </w:r>
    </w:p>
    <w:p w14:paraId="28DCF681" w14:textId="77777777" w:rsidR="006B21B0" w:rsidRPr="00FC7D87" w:rsidRDefault="006B21B0" w:rsidP="006B21B0">
      <w:pPr>
        <w:pStyle w:val="PolicyBullets"/>
        <w:spacing w:before="120" w:after="120"/>
        <w:contextualSpacing w:val="0"/>
        <w:jc w:val="both"/>
      </w:pPr>
      <w:r w:rsidRPr="00FC7D87">
        <w:t>Ensuring the systems and procedures for dealing with educational visits adhere to the requirements of this policy.</w:t>
      </w:r>
    </w:p>
    <w:p w14:paraId="3FE96A9C" w14:textId="77777777" w:rsidR="006B21B0" w:rsidRPr="00FC7D87" w:rsidRDefault="006B21B0" w:rsidP="006B21B0">
      <w:pPr>
        <w:pStyle w:val="PolicyBullets"/>
        <w:spacing w:before="120" w:after="120"/>
        <w:contextualSpacing w:val="0"/>
        <w:jc w:val="both"/>
      </w:pPr>
      <w:r w:rsidRPr="00FC7D87">
        <w:t xml:space="preserve">Conducting risk assessments prior to school trips and educational visits to ensure pupil and staff safety. </w:t>
      </w:r>
    </w:p>
    <w:p w14:paraId="78ABC1E7" w14:textId="77777777" w:rsidR="006B21B0" w:rsidRPr="00FC7D87" w:rsidRDefault="006B21B0" w:rsidP="006B21B0">
      <w:pPr>
        <w:pStyle w:val="PolicyBullets"/>
        <w:spacing w:before="120" w:after="120"/>
        <w:contextualSpacing w:val="0"/>
        <w:jc w:val="both"/>
      </w:pPr>
      <w:r w:rsidRPr="00FC7D87">
        <w:t>Creating an itinerary prior to an educational visit or school trip</w:t>
      </w:r>
      <w:r>
        <w:t xml:space="preserve"> and</w:t>
      </w:r>
      <w:r w:rsidRPr="00FC7D87">
        <w:t xml:space="preserve"> distributing it to parents and staff to ensure the day is well organised and safe. </w:t>
      </w:r>
    </w:p>
    <w:p w14:paraId="703AB5F3" w14:textId="77777777" w:rsidR="006B21B0" w:rsidRPr="00FC7D87" w:rsidRDefault="006B21B0" w:rsidP="006B21B0">
      <w:pPr>
        <w:pStyle w:val="PolicyBullets"/>
        <w:spacing w:before="120" w:after="120"/>
        <w:contextualSpacing w:val="0"/>
        <w:jc w:val="both"/>
      </w:pPr>
      <w:r w:rsidRPr="00FC7D87">
        <w:t xml:space="preserve">Appointing an appropriate member of staff to be the designated leader of the trip.  </w:t>
      </w:r>
    </w:p>
    <w:p w14:paraId="4E439093" w14:textId="76A676BC" w:rsidR="006B21B0" w:rsidRPr="00FC7D87" w:rsidRDefault="006B21B0" w:rsidP="006B21B0">
      <w:pPr>
        <w:pStyle w:val="PolicyBullets"/>
        <w:spacing w:before="120" w:after="120"/>
        <w:contextualSpacing w:val="0"/>
        <w:jc w:val="both"/>
      </w:pPr>
      <w:r w:rsidRPr="00FC7D87">
        <w:t xml:space="preserve">Ensuring that any problems are raised in a meeting with the </w:t>
      </w:r>
      <w:r w:rsidR="008B64EB">
        <w:t>management committee.</w:t>
      </w:r>
    </w:p>
    <w:p w14:paraId="110E30DF" w14:textId="77777777" w:rsidR="006B21B0" w:rsidRPr="00EF4E0C" w:rsidRDefault="006B21B0" w:rsidP="006B21B0">
      <w:pPr>
        <w:pStyle w:val="TSB-Level1Numbers"/>
        <w:numPr>
          <w:ilvl w:val="1"/>
          <w:numId w:val="28"/>
        </w:numPr>
        <w:spacing w:before="120" w:after="120"/>
        <w:ind w:left="1480" w:hanging="482"/>
      </w:pPr>
      <w:r w:rsidRPr="00EF4E0C">
        <w:t xml:space="preserve">The </w:t>
      </w:r>
      <w:r w:rsidRPr="008B64EB">
        <w:rPr>
          <w:rFonts w:asciiTheme="minorHAnsi" w:hAnsiTheme="minorHAnsi" w:cstheme="minorBidi"/>
          <w:b/>
          <w:szCs w:val="22"/>
        </w:rPr>
        <w:t>designated leader</w:t>
      </w:r>
      <w:r w:rsidRPr="008B64EB">
        <w:rPr>
          <w:rFonts w:asciiTheme="minorHAnsi" w:hAnsiTheme="minorHAnsi" w:cstheme="minorBidi"/>
          <w:szCs w:val="22"/>
        </w:rPr>
        <w:t xml:space="preserve"> in</w:t>
      </w:r>
      <w:r w:rsidRPr="00EF4E0C">
        <w:t xml:space="preserve"> charge of the trip is ‘in loco parentis’ and has a duty of care to all pupils on the trip. They are also responsible for:</w:t>
      </w:r>
    </w:p>
    <w:p w14:paraId="687589D7" w14:textId="77777777" w:rsidR="006B21B0" w:rsidRPr="00FC7D87" w:rsidRDefault="006B21B0" w:rsidP="006B21B0">
      <w:pPr>
        <w:pStyle w:val="PolicyBullets"/>
        <w:spacing w:before="120" w:after="120"/>
        <w:contextualSpacing w:val="0"/>
        <w:jc w:val="both"/>
      </w:pPr>
      <w:r w:rsidRPr="00FC7D87">
        <w:t xml:space="preserve">Checking the schedule is free on the school calendar prior to planning an educational visit. </w:t>
      </w:r>
    </w:p>
    <w:p w14:paraId="0035EB1B" w14:textId="77777777" w:rsidR="006B21B0" w:rsidRPr="00FC7D87" w:rsidRDefault="006B21B0" w:rsidP="006B21B0">
      <w:pPr>
        <w:pStyle w:val="PolicyBullets"/>
        <w:spacing w:before="120" w:after="120"/>
        <w:contextualSpacing w:val="0"/>
        <w:jc w:val="both"/>
      </w:pPr>
      <w:r w:rsidRPr="00FC7D87">
        <w:t>Identifying the educational purpose of the extra-curricular trip or activity and presenting its benefits to the headteacher.</w:t>
      </w:r>
    </w:p>
    <w:p w14:paraId="2F8910CC" w14:textId="4BDED433" w:rsidR="006B21B0" w:rsidRPr="004305F8" w:rsidRDefault="1F78999C" w:rsidP="006B21B0">
      <w:pPr>
        <w:pStyle w:val="PolicyBullets"/>
        <w:spacing w:before="120" w:after="120"/>
        <w:contextualSpacing w:val="0"/>
        <w:jc w:val="both"/>
      </w:pPr>
      <w:r>
        <w:t>Completing all essential documentation for the trip, including a risk assessment</w:t>
      </w:r>
      <w:r w:rsidRPr="004305F8">
        <w:t>, which is shared with and overseen by the headteacher or educational visits co-ordinator.</w:t>
      </w:r>
    </w:p>
    <w:p w14:paraId="38563F79" w14:textId="1CF6B6F3" w:rsidR="006B21B0" w:rsidRPr="00FC7D87" w:rsidRDefault="006B21B0" w:rsidP="006B21B0">
      <w:pPr>
        <w:pStyle w:val="PolicyBullets"/>
        <w:spacing w:before="120" w:after="120"/>
        <w:contextualSpacing w:val="0"/>
        <w:jc w:val="both"/>
      </w:pPr>
      <w:r w:rsidRPr="00FC7D87">
        <w:t>Informing parents of the proposed extra-curricular trip or activity in advance of the trip.</w:t>
      </w:r>
    </w:p>
    <w:p w14:paraId="5FCDD341" w14:textId="066F8362" w:rsidR="006B21B0" w:rsidRPr="00FC7D87" w:rsidRDefault="006B21B0" w:rsidP="006B21B0">
      <w:pPr>
        <w:pStyle w:val="PolicyBullets"/>
        <w:spacing w:before="120" w:after="120"/>
        <w:contextualSpacing w:val="0"/>
        <w:jc w:val="both"/>
      </w:pPr>
      <w:r w:rsidRPr="00FC7D87">
        <w:lastRenderedPageBreak/>
        <w:t>Distributing permission slips to parents prior to the trip and chasing up any permission sl</w:t>
      </w:r>
      <w:r w:rsidR="008B64EB">
        <w:t>ips that have not been returned.</w:t>
      </w:r>
    </w:p>
    <w:p w14:paraId="762E5DB2" w14:textId="77777777" w:rsidR="006B21B0" w:rsidRPr="00FC7D87" w:rsidRDefault="006B21B0" w:rsidP="006B21B0">
      <w:pPr>
        <w:pStyle w:val="PolicyBullets"/>
        <w:spacing w:before="120" w:after="120"/>
        <w:contextualSpacing w:val="0"/>
        <w:jc w:val="both"/>
      </w:pPr>
      <w:r w:rsidRPr="00FC7D87">
        <w:t>Understanding and operating safeguarding measures throughout the planning, organisation and delivery of the extra-curricular trip or activity.</w:t>
      </w:r>
    </w:p>
    <w:p w14:paraId="6BCD63E2" w14:textId="77777777" w:rsidR="006B21B0" w:rsidRPr="00FC7D87" w:rsidRDefault="006B21B0" w:rsidP="006B21B0">
      <w:pPr>
        <w:pStyle w:val="PolicyBullets"/>
        <w:spacing w:before="120" w:after="120"/>
        <w:contextualSpacing w:val="0"/>
        <w:jc w:val="both"/>
      </w:pPr>
      <w:r w:rsidRPr="00FC7D87">
        <w:t xml:space="preserve">Delegating responsibilities to other staff members on the school trip. </w:t>
      </w:r>
    </w:p>
    <w:p w14:paraId="417DB66F" w14:textId="77777777" w:rsidR="006B21B0" w:rsidRPr="00FC7D87" w:rsidRDefault="006B21B0" w:rsidP="006B21B0">
      <w:pPr>
        <w:pStyle w:val="PolicyBullets"/>
        <w:spacing w:before="120" w:after="120"/>
        <w:contextualSpacing w:val="0"/>
        <w:jc w:val="both"/>
      </w:pPr>
      <w:r w:rsidRPr="00FC7D87">
        <w:t>Ensuring all adults on the trip are aware of their responsibilities and that the necessary checks have been carried out on volunteers in line with the DBS Policy.</w:t>
      </w:r>
    </w:p>
    <w:p w14:paraId="0ECC985E" w14:textId="77777777" w:rsidR="006B21B0" w:rsidRPr="00EF4E0C" w:rsidRDefault="006B21B0" w:rsidP="006B21B0">
      <w:pPr>
        <w:pStyle w:val="TSB-Level1Numbers"/>
        <w:numPr>
          <w:ilvl w:val="1"/>
          <w:numId w:val="28"/>
        </w:numPr>
        <w:spacing w:before="120" w:after="120"/>
        <w:ind w:left="1480" w:hanging="482"/>
      </w:pPr>
      <w:r w:rsidRPr="008B64EB">
        <w:rPr>
          <w:b/>
        </w:rPr>
        <w:t>Staff</w:t>
      </w:r>
      <w:r w:rsidRPr="00EF4E0C">
        <w:t xml:space="preserve"> are responsible for:</w:t>
      </w:r>
    </w:p>
    <w:p w14:paraId="59FE1208" w14:textId="77777777" w:rsidR="006B21B0" w:rsidRPr="00FC7D87" w:rsidRDefault="006B21B0" w:rsidP="006B21B0">
      <w:pPr>
        <w:pStyle w:val="PolicyBullets"/>
        <w:spacing w:before="120" w:after="120"/>
        <w:contextualSpacing w:val="0"/>
        <w:jc w:val="both"/>
      </w:pPr>
      <w:r w:rsidRPr="00FC7D87">
        <w:t>Adhering to this policy a</w:t>
      </w:r>
      <w:r>
        <w:t>nd</w:t>
      </w:r>
      <w:r w:rsidRPr="00FC7D87">
        <w:t xml:space="preserve"> applying its principles when participating in extra-curricular trips and activities.</w:t>
      </w:r>
    </w:p>
    <w:p w14:paraId="0306AC7B" w14:textId="77777777" w:rsidR="006B21B0" w:rsidRPr="00FC7D87" w:rsidRDefault="006B21B0" w:rsidP="006B21B0">
      <w:pPr>
        <w:pStyle w:val="PolicyBullets"/>
        <w:spacing w:before="120" w:after="120"/>
        <w:contextualSpacing w:val="0"/>
        <w:jc w:val="both"/>
      </w:pPr>
      <w:r w:rsidRPr="00FC7D87">
        <w:t>Ensuring the safety of the pupils is maximised throughout any educational visit or activity.</w:t>
      </w:r>
    </w:p>
    <w:p w14:paraId="3213898E" w14:textId="77777777" w:rsidR="006B21B0" w:rsidRPr="00FC7D87" w:rsidRDefault="006B21B0" w:rsidP="006B21B0">
      <w:pPr>
        <w:pStyle w:val="PolicyBullets"/>
        <w:spacing w:before="120" w:after="120"/>
        <w:contextualSpacing w:val="0"/>
        <w:jc w:val="both"/>
      </w:pPr>
      <w:r w:rsidRPr="00FC7D87">
        <w:t>Liaising with the designated leader to understand personal responsibilities and ensuring the smooth running of the school trip or activity.</w:t>
      </w:r>
    </w:p>
    <w:p w14:paraId="3290E022" w14:textId="77777777" w:rsidR="006B21B0" w:rsidRPr="00FC7D87" w:rsidRDefault="006B21B0" w:rsidP="006B21B0">
      <w:pPr>
        <w:pStyle w:val="PolicyBullets"/>
        <w:spacing w:before="120" w:after="120"/>
        <w:contextualSpacing w:val="0"/>
        <w:jc w:val="both"/>
      </w:pPr>
      <w:r w:rsidRPr="00FC7D87">
        <w:t xml:space="preserve">Ensuring that any </w:t>
      </w:r>
      <w:r>
        <w:t>o</w:t>
      </w:r>
      <w:r w:rsidRPr="00FC7D87">
        <w:t>utdoor space</w:t>
      </w:r>
      <w:r>
        <w:t xml:space="preserve"> visited</w:t>
      </w:r>
      <w:r w:rsidRPr="00FC7D87">
        <w:t xml:space="preserve">, e.g. </w:t>
      </w:r>
      <w:r>
        <w:t xml:space="preserve">a </w:t>
      </w:r>
      <w:r w:rsidRPr="00FC7D87">
        <w:t xml:space="preserve">park and playing field, </w:t>
      </w:r>
      <w:r>
        <w:t xml:space="preserve">is </w:t>
      </w:r>
      <w:r w:rsidRPr="00FC7D87">
        <w:t xml:space="preserve">kept clean and free from litter during the trip. </w:t>
      </w:r>
    </w:p>
    <w:p w14:paraId="7AF35722" w14:textId="77777777" w:rsidR="006B21B0" w:rsidRPr="00EF4E0C" w:rsidRDefault="006B21B0" w:rsidP="006B21B0">
      <w:pPr>
        <w:pStyle w:val="TSB-Level1Numbers"/>
        <w:numPr>
          <w:ilvl w:val="1"/>
          <w:numId w:val="28"/>
        </w:numPr>
        <w:spacing w:before="120" w:after="120"/>
        <w:ind w:left="1480" w:hanging="482"/>
      </w:pPr>
      <w:r w:rsidRPr="0036141C">
        <w:rPr>
          <w:b/>
        </w:rPr>
        <w:t>Pupils</w:t>
      </w:r>
      <w:r w:rsidRPr="00EF4E0C">
        <w:t xml:space="preserve"> are responsible for:</w:t>
      </w:r>
    </w:p>
    <w:p w14:paraId="6462AAEF" w14:textId="77777777" w:rsidR="006B21B0" w:rsidRPr="00EF4E0C" w:rsidRDefault="006B21B0" w:rsidP="006B21B0">
      <w:pPr>
        <w:pStyle w:val="PolicyBullets"/>
        <w:spacing w:before="120" w:after="120"/>
        <w:contextualSpacing w:val="0"/>
        <w:jc w:val="both"/>
      </w:pPr>
      <w:r w:rsidRPr="00EF4E0C">
        <w:t>Following instructions from staff while on school trips.</w:t>
      </w:r>
    </w:p>
    <w:p w14:paraId="38448F22" w14:textId="77777777" w:rsidR="006B21B0" w:rsidRPr="00EF4E0C" w:rsidRDefault="006B21B0" w:rsidP="006B21B0">
      <w:pPr>
        <w:pStyle w:val="PolicyBullets"/>
        <w:spacing w:before="120" w:after="120"/>
        <w:contextualSpacing w:val="0"/>
        <w:jc w:val="both"/>
      </w:pPr>
      <w:r w:rsidRPr="00EF4E0C">
        <w:t xml:space="preserve">Keeping pride in their presentation, understanding that they are representing the school whilst on an education trip. </w:t>
      </w:r>
    </w:p>
    <w:p w14:paraId="3933CBF1" w14:textId="77777777" w:rsidR="006B21B0" w:rsidRPr="00EF4E0C" w:rsidRDefault="006B21B0" w:rsidP="006B21B0">
      <w:pPr>
        <w:pStyle w:val="PolicyBullets"/>
        <w:spacing w:before="120" w:after="120"/>
        <w:contextualSpacing w:val="0"/>
        <w:jc w:val="both"/>
      </w:pPr>
      <w:r w:rsidRPr="00EF4E0C">
        <w:t>Ensuring that</w:t>
      </w:r>
      <w:r>
        <w:t>,</w:t>
      </w:r>
      <w:r w:rsidRPr="00EF4E0C">
        <w:t xml:space="preserve"> during visits to outdoor spaces, they keep the area tidy and free from litter.  </w:t>
      </w:r>
    </w:p>
    <w:p w14:paraId="1323A60F" w14:textId="3209E243" w:rsidR="006B21B0" w:rsidRDefault="006B21B0" w:rsidP="006B21B0">
      <w:pPr>
        <w:pStyle w:val="PolicyBullets"/>
        <w:spacing w:before="120" w:after="120"/>
        <w:contextualSpacing w:val="0"/>
        <w:jc w:val="both"/>
      </w:pPr>
      <w:r w:rsidRPr="00EF4E0C">
        <w:t xml:space="preserve">Behaving in a manner which matches the ethos of </w:t>
      </w:r>
      <w:r w:rsidRPr="00877524">
        <w:rPr>
          <w:color w:val="000000" w:themeColor="text1"/>
        </w:rPr>
        <w:t xml:space="preserve">the </w:t>
      </w:r>
      <w:r w:rsidR="0032329C" w:rsidRPr="00877524">
        <w:rPr>
          <w:color w:val="000000" w:themeColor="text1"/>
        </w:rPr>
        <w:t>school</w:t>
      </w:r>
      <w:r w:rsidRPr="00EF4E0C">
        <w:t xml:space="preserve"> and for following the behaviour rules set out in the school’s </w:t>
      </w:r>
      <w:r w:rsidRPr="0036141C">
        <w:t>Behavioural Policy</w:t>
      </w:r>
      <w:r w:rsidRPr="00EF4E0C">
        <w:rPr>
          <w:color w:val="FFD006"/>
        </w:rPr>
        <w:t xml:space="preserve"> </w:t>
      </w:r>
      <w:r w:rsidRPr="00EF4E0C">
        <w:t>with regards to this policy.</w:t>
      </w:r>
    </w:p>
    <w:p w14:paraId="59A64831" w14:textId="77777777" w:rsidR="006B21B0" w:rsidRDefault="006B21B0" w:rsidP="006B21B0">
      <w:pPr>
        <w:pStyle w:val="Heading10"/>
        <w:numPr>
          <w:ilvl w:val="0"/>
          <w:numId w:val="28"/>
        </w:numPr>
        <w:spacing w:before="120" w:after="120"/>
        <w:ind w:left="357" w:hanging="357"/>
        <w:contextualSpacing w:val="0"/>
        <w:jc w:val="both"/>
      </w:pPr>
      <w:bookmarkStart w:id="9" w:name="_Training_of_staff"/>
      <w:bookmarkEnd w:id="9"/>
      <w:r w:rsidRPr="00667CC2">
        <w:t>Training of staff</w:t>
      </w:r>
    </w:p>
    <w:p w14:paraId="5B2C6939" w14:textId="77777777" w:rsidR="006B21B0" w:rsidRPr="00EF4E0C" w:rsidRDefault="006B21B0" w:rsidP="006B21B0">
      <w:pPr>
        <w:pStyle w:val="TSB-Level1Numbers"/>
        <w:numPr>
          <w:ilvl w:val="1"/>
          <w:numId w:val="28"/>
        </w:numPr>
        <w:spacing w:before="120" w:after="120"/>
        <w:ind w:left="1480" w:hanging="482"/>
      </w:pPr>
      <w:r w:rsidRPr="00EF4E0C">
        <w:t>Staff will receive training on this policy as part of their induction.</w:t>
      </w:r>
    </w:p>
    <w:p w14:paraId="51CD9F59" w14:textId="77777777" w:rsidR="006B21B0" w:rsidRDefault="006B21B0" w:rsidP="006B21B0">
      <w:pPr>
        <w:pStyle w:val="TSB-Level1Numbers"/>
        <w:numPr>
          <w:ilvl w:val="1"/>
          <w:numId w:val="28"/>
        </w:numPr>
        <w:spacing w:before="120" w:after="120"/>
        <w:ind w:left="1480" w:hanging="482"/>
      </w:pPr>
      <w:r w:rsidRPr="00EF4E0C">
        <w:t>Staff will receive regular and ongoing training as part of their CPD.</w:t>
      </w:r>
    </w:p>
    <w:p w14:paraId="58670BE5" w14:textId="77777777" w:rsidR="006B21B0" w:rsidRDefault="006B21B0" w:rsidP="006B21B0">
      <w:pPr>
        <w:pStyle w:val="Heading10"/>
        <w:numPr>
          <w:ilvl w:val="0"/>
          <w:numId w:val="28"/>
        </w:numPr>
        <w:spacing w:before="120" w:after="120"/>
        <w:ind w:left="357" w:hanging="357"/>
        <w:contextualSpacing w:val="0"/>
        <w:jc w:val="both"/>
      </w:pPr>
      <w:bookmarkStart w:id="10" w:name="_Planning_school_trips_1"/>
      <w:bookmarkEnd w:id="10"/>
      <w:r w:rsidRPr="00667CC2">
        <w:t>Planning school trips</w:t>
      </w:r>
    </w:p>
    <w:p w14:paraId="044045FC" w14:textId="77777777" w:rsidR="006B21B0" w:rsidRPr="00EF4E0C" w:rsidRDefault="006B21B0" w:rsidP="006B21B0">
      <w:pPr>
        <w:pStyle w:val="TSB-Level1Numbers"/>
        <w:numPr>
          <w:ilvl w:val="1"/>
          <w:numId w:val="28"/>
        </w:numPr>
        <w:spacing w:before="120" w:after="120"/>
        <w:ind w:left="1480" w:hanging="482"/>
      </w:pPr>
      <w:r w:rsidRPr="00EF4E0C">
        <w:t xml:space="preserve">Prior to planning a school trip, the following guidance </w:t>
      </w:r>
      <w:r>
        <w:t>will</w:t>
      </w:r>
      <w:r w:rsidRPr="00EF4E0C">
        <w:t xml:space="preserve"> be read by </w:t>
      </w:r>
      <w:r>
        <w:t xml:space="preserve">the </w:t>
      </w:r>
      <w:r w:rsidRPr="00EF4E0C">
        <w:t>organisers:</w:t>
      </w:r>
    </w:p>
    <w:p w14:paraId="30C97657" w14:textId="4039E168" w:rsidR="006B21B0" w:rsidRPr="00FC7D87" w:rsidRDefault="006B21B0" w:rsidP="006B21B0">
      <w:pPr>
        <w:pStyle w:val="PolicyBullets"/>
        <w:spacing w:before="120" w:after="120"/>
        <w:contextualSpacing w:val="0"/>
        <w:jc w:val="both"/>
      </w:pPr>
      <w:r w:rsidRPr="00FC7D87">
        <w:lastRenderedPageBreak/>
        <w:t>DfE (201</w:t>
      </w:r>
      <w:r>
        <w:t>8</w:t>
      </w:r>
      <w:r w:rsidRPr="00FC7D87">
        <w:t>) ‘Health and safety</w:t>
      </w:r>
      <w:r>
        <w:t xml:space="preserve"> on educational visits’</w:t>
      </w:r>
      <w:r w:rsidRPr="00FC7D87">
        <w:t xml:space="preserve"> </w:t>
      </w:r>
    </w:p>
    <w:p w14:paraId="3BCDBE5F" w14:textId="77777777" w:rsidR="006B21B0" w:rsidRPr="00FC7D87" w:rsidRDefault="006B21B0" w:rsidP="006B21B0">
      <w:pPr>
        <w:pStyle w:val="PolicyBullets"/>
        <w:spacing w:before="120" w:after="120"/>
        <w:contextualSpacing w:val="0"/>
        <w:jc w:val="both"/>
        <w:rPr>
          <w:rStyle w:val="Hyperlink"/>
          <w:color w:val="auto"/>
          <w:u w:val="none"/>
        </w:rPr>
      </w:pPr>
      <w:r w:rsidRPr="00FC7D87">
        <w:t>HSE (2011) ‘School trips and outdoor learning activities’</w:t>
      </w:r>
      <w:r w:rsidRPr="00FC7D87">
        <w:rPr>
          <w:rStyle w:val="Hyperlink"/>
          <w:color w:val="auto"/>
          <w:u w:val="none"/>
        </w:rPr>
        <w:t xml:space="preserve"> </w:t>
      </w:r>
    </w:p>
    <w:p w14:paraId="5F0D2963" w14:textId="76198240" w:rsidR="006B21B0" w:rsidRDefault="006B21B0" w:rsidP="006B21B0">
      <w:pPr>
        <w:pStyle w:val="TSB-Level1Numbers"/>
        <w:numPr>
          <w:ilvl w:val="1"/>
          <w:numId w:val="28"/>
        </w:numPr>
        <w:spacing w:before="120" w:after="120"/>
        <w:ind w:left="1480" w:hanging="482"/>
      </w:pPr>
      <w:r w:rsidRPr="00EF4E0C">
        <w:t>A th</w:t>
      </w:r>
      <w:r>
        <w:t>o</w:t>
      </w:r>
      <w:r w:rsidRPr="00EF4E0C">
        <w:t xml:space="preserve">rough risk assessment will be conducted by the </w:t>
      </w:r>
      <w:r w:rsidR="0032329C" w:rsidRPr="0032329C">
        <w:t>trip coordinator</w:t>
      </w:r>
      <w:r w:rsidRPr="00877524">
        <w:rPr>
          <w:b/>
          <w:color w:val="FFD006"/>
        </w:rPr>
        <w:t xml:space="preserve"> </w:t>
      </w:r>
      <w:r w:rsidRPr="00EF4E0C">
        <w:t>d</w:t>
      </w:r>
      <w:r w:rsidR="0032329C">
        <w:t xml:space="preserve">uring the planning of the trip and will be approved by the educational visits coordinator, </w:t>
      </w:r>
      <w:r w:rsidRPr="00EF4E0C">
        <w:t>to ensure pupil and staff safety.</w:t>
      </w:r>
    </w:p>
    <w:p w14:paraId="16F9A3DE" w14:textId="6C741835" w:rsidR="006B21B0" w:rsidRDefault="006B21B0" w:rsidP="006B21B0">
      <w:pPr>
        <w:pStyle w:val="TSB-Level1Numbers"/>
        <w:numPr>
          <w:ilvl w:val="1"/>
          <w:numId w:val="28"/>
        </w:numPr>
        <w:spacing w:before="120" w:after="120"/>
        <w:ind w:left="1480" w:hanging="482"/>
      </w:pPr>
      <w:r>
        <w:t>Adventure activities will always be identified at the planning stage and never added during the trip.</w:t>
      </w:r>
    </w:p>
    <w:p w14:paraId="02103A84" w14:textId="3CD19407" w:rsidR="006B21B0" w:rsidRPr="00EF4E0C" w:rsidRDefault="006B21B0" w:rsidP="006B21B0">
      <w:pPr>
        <w:pStyle w:val="TSB-Level1Numbers"/>
        <w:numPr>
          <w:ilvl w:val="1"/>
          <w:numId w:val="28"/>
        </w:numPr>
        <w:spacing w:before="120" w:after="120"/>
        <w:ind w:left="1480" w:hanging="482"/>
      </w:pPr>
      <w:r>
        <w:t xml:space="preserve">When planning water sport activities, the need for instructors and lifeguards will be taken into account, particularly when using facilities which may not have a trained lifeguard present. </w:t>
      </w:r>
    </w:p>
    <w:p w14:paraId="43A19CA4" w14:textId="77777777" w:rsidR="006B21B0" w:rsidRPr="00EF4E0C" w:rsidRDefault="006B21B0" w:rsidP="006B21B0">
      <w:pPr>
        <w:pStyle w:val="TSB-Level1Numbers"/>
        <w:numPr>
          <w:ilvl w:val="1"/>
          <w:numId w:val="28"/>
        </w:numPr>
        <w:spacing w:before="120" w:after="120"/>
        <w:ind w:left="1480" w:hanging="482"/>
      </w:pPr>
      <w:r w:rsidRPr="00EF4E0C">
        <w:t xml:space="preserve">The school will do everything in its power to ensure that all pupils are given an opportunity to participate in school trips, </w:t>
      </w:r>
      <w:r>
        <w:t>for example,</w:t>
      </w:r>
      <w:r w:rsidRPr="00EF4E0C">
        <w:t xml:space="preserve"> organising two trips with a smaller group size or finding a venue which can cater for all pupils. </w:t>
      </w:r>
    </w:p>
    <w:p w14:paraId="2A030C62" w14:textId="0CF2AD83" w:rsidR="006B21B0" w:rsidRDefault="006B21B0" w:rsidP="006B21B0">
      <w:pPr>
        <w:pStyle w:val="TSB-Level1Numbers"/>
        <w:numPr>
          <w:ilvl w:val="1"/>
          <w:numId w:val="28"/>
        </w:numPr>
        <w:spacing w:before="120" w:after="120"/>
        <w:ind w:left="1480" w:hanging="482"/>
      </w:pPr>
      <w:r w:rsidRPr="00EF4E0C">
        <w:t xml:space="preserve">Where there is a maximum capacity of pupils for a trip, places will be allocated on a </w:t>
      </w:r>
      <w:r w:rsidRPr="0032329C">
        <w:t>first come, first served basis</w:t>
      </w:r>
      <w:r w:rsidRPr="00EF4E0C">
        <w:t xml:space="preserve">. This will be clearly communicated to parents in a </w:t>
      </w:r>
      <w:r w:rsidRPr="0032329C">
        <w:t>letter home</w:t>
      </w:r>
      <w:r w:rsidRPr="00EF4E0C">
        <w:t xml:space="preserve">. </w:t>
      </w:r>
    </w:p>
    <w:p w14:paraId="54F72A78" w14:textId="7523356D" w:rsidR="0083130F" w:rsidRDefault="0083130F" w:rsidP="0083130F">
      <w:pPr>
        <w:pStyle w:val="Heading10"/>
        <w:numPr>
          <w:ilvl w:val="0"/>
          <w:numId w:val="0"/>
        </w:numPr>
        <w:spacing w:before="120" w:after="120"/>
        <w:ind w:left="360"/>
      </w:pPr>
    </w:p>
    <w:p w14:paraId="62C5923A" w14:textId="77777777" w:rsidR="0083130F" w:rsidRPr="0083130F" w:rsidRDefault="0083130F" w:rsidP="0083130F"/>
    <w:p w14:paraId="056E9429" w14:textId="7E36A2A9" w:rsidR="0083130F" w:rsidRDefault="0083130F" w:rsidP="0083130F"/>
    <w:p w14:paraId="110B2F53" w14:textId="77777777" w:rsidR="0083130F" w:rsidRPr="0083130F" w:rsidRDefault="0083130F" w:rsidP="0083130F"/>
    <w:p w14:paraId="2ACFDA73" w14:textId="5087B02F" w:rsidR="0032329C" w:rsidRDefault="0032329C" w:rsidP="0083130F">
      <w:pPr>
        <w:pStyle w:val="TSB-Level1Numbers"/>
        <w:spacing w:before="120" w:after="120"/>
        <w:ind w:left="0" w:firstLine="0"/>
      </w:pPr>
    </w:p>
    <w:p w14:paraId="37FFDDA0" w14:textId="77777777" w:rsidR="006B21B0" w:rsidRDefault="006B21B0" w:rsidP="006B21B0">
      <w:pPr>
        <w:pStyle w:val="Heading10"/>
        <w:numPr>
          <w:ilvl w:val="0"/>
          <w:numId w:val="28"/>
        </w:numPr>
        <w:spacing w:before="120" w:after="120"/>
        <w:ind w:left="357" w:hanging="357"/>
        <w:contextualSpacing w:val="0"/>
        <w:jc w:val="both"/>
      </w:pPr>
      <w:bookmarkStart w:id="11" w:name="_Risk_assessment_process"/>
      <w:bookmarkEnd w:id="11"/>
      <w:r w:rsidRPr="00EE396D">
        <w:t>Risk assessment process</w:t>
      </w:r>
    </w:p>
    <w:p w14:paraId="6DE61518" w14:textId="77777777" w:rsidR="006B21B0" w:rsidRDefault="006B21B0" w:rsidP="006B21B0">
      <w:pPr>
        <w:pStyle w:val="TSB-Level1Numbers"/>
        <w:numPr>
          <w:ilvl w:val="1"/>
          <w:numId w:val="28"/>
        </w:numPr>
        <w:spacing w:before="120" w:after="120"/>
        <w:ind w:left="1480" w:hanging="482"/>
      </w:pPr>
      <w:r w:rsidRPr="00EF4E0C">
        <w:t>Our risk assessment process is designed to manage risks when planning trips, while ensuring that learning opportunities are experienced to the fullest extent.</w:t>
      </w:r>
    </w:p>
    <w:p w14:paraId="2EC42EFC" w14:textId="02FC3B68" w:rsidR="006B21B0" w:rsidRPr="00EF4E0C" w:rsidRDefault="006B21B0" w:rsidP="006B21B0">
      <w:pPr>
        <w:pStyle w:val="TSB-Level1Numbers"/>
        <w:numPr>
          <w:ilvl w:val="1"/>
          <w:numId w:val="28"/>
        </w:numPr>
        <w:spacing w:before="120" w:after="120"/>
        <w:ind w:left="1480" w:hanging="482"/>
      </w:pPr>
      <w:r>
        <w:t>The individual carrying out the risk assessment process will have the skills, status and competence needed for the role, understand the risks involved, and be familiar with the activity.</w:t>
      </w:r>
    </w:p>
    <w:p w14:paraId="374B375D" w14:textId="77777777" w:rsidR="006B21B0" w:rsidRPr="00EF4E0C" w:rsidRDefault="006B21B0" w:rsidP="006B21B0">
      <w:pPr>
        <w:pStyle w:val="TSB-Level1Numbers"/>
        <w:numPr>
          <w:ilvl w:val="1"/>
          <w:numId w:val="28"/>
        </w:numPr>
        <w:spacing w:before="120" w:after="120"/>
        <w:ind w:left="1480" w:hanging="482"/>
      </w:pPr>
      <w:r w:rsidRPr="00EF4E0C">
        <w:t>The process is as follows:</w:t>
      </w:r>
    </w:p>
    <w:p w14:paraId="5B97BF01" w14:textId="77777777" w:rsidR="006B21B0" w:rsidRPr="00FC7D87" w:rsidRDefault="006B21B0" w:rsidP="006B21B0">
      <w:pPr>
        <w:pStyle w:val="PolicyBullets"/>
        <w:spacing w:before="120" w:after="120"/>
        <w:contextualSpacing w:val="0"/>
        <w:jc w:val="both"/>
      </w:pPr>
      <w:r w:rsidRPr="00FC7D87">
        <w:t>Identify the hazards</w:t>
      </w:r>
    </w:p>
    <w:p w14:paraId="6787697F" w14:textId="77777777" w:rsidR="006B21B0" w:rsidRPr="00FC7D87" w:rsidRDefault="006B21B0" w:rsidP="006B21B0">
      <w:pPr>
        <w:pStyle w:val="PolicyBullets"/>
        <w:spacing w:before="120" w:after="120"/>
        <w:contextualSpacing w:val="0"/>
        <w:jc w:val="both"/>
      </w:pPr>
      <w:r w:rsidRPr="00FC7D87">
        <w:t>Decide who might be harmed and how</w:t>
      </w:r>
    </w:p>
    <w:p w14:paraId="50E708B3" w14:textId="77777777" w:rsidR="006B21B0" w:rsidRPr="00FC7D87" w:rsidRDefault="006B21B0" w:rsidP="006B21B0">
      <w:pPr>
        <w:pStyle w:val="PolicyBullets"/>
        <w:spacing w:before="120" w:after="120"/>
        <w:contextualSpacing w:val="0"/>
        <w:jc w:val="both"/>
      </w:pPr>
      <w:r w:rsidRPr="00FC7D87">
        <w:t>Evaluate the risks and decide on precautions</w:t>
      </w:r>
    </w:p>
    <w:p w14:paraId="4A459384" w14:textId="77777777" w:rsidR="006B21B0" w:rsidRPr="00FC7D87" w:rsidRDefault="006B21B0" w:rsidP="006B21B0">
      <w:pPr>
        <w:pStyle w:val="PolicyBullets"/>
        <w:spacing w:before="120" w:after="120"/>
        <w:contextualSpacing w:val="0"/>
        <w:jc w:val="both"/>
      </w:pPr>
      <w:r w:rsidRPr="00FC7D87">
        <w:t>Record findings and implement them</w:t>
      </w:r>
    </w:p>
    <w:p w14:paraId="6A391CA5" w14:textId="77777777" w:rsidR="006B21B0" w:rsidRPr="00FC7D87" w:rsidRDefault="006B21B0" w:rsidP="006B21B0">
      <w:pPr>
        <w:pStyle w:val="PolicyBullets"/>
        <w:spacing w:before="120" w:after="120"/>
        <w:contextualSpacing w:val="0"/>
        <w:jc w:val="both"/>
      </w:pPr>
      <w:r w:rsidRPr="00FC7D87">
        <w:t>Review assessment and update if necessary</w:t>
      </w:r>
    </w:p>
    <w:p w14:paraId="2C0CE326" w14:textId="7FE942E9" w:rsidR="006B21B0" w:rsidRDefault="006B21B0" w:rsidP="006B21B0">
      <w:pPr>
        <w:pStyle w:val="TSB-Level1Numbers"/>
        <w:numPr>
          <w:ilvl w:val="1"/>
          <w:numId w:val="28"/>
        </w:numPr>
        <w:spacing w:before="120" w:after="120"/>
        <w:ind w:left="1480" w:hanging="482"/>
      </w:pPr>
      <w:r w:rsidRPr="00EF4E0C">
        <w:lastRenderedPageBreak/>
        <w:t xml:space="preserve">A </w:t>
      </w:r>
      <w:r>
        <w:t xml:space="preserve">generalised </w:t>
      </w:r>
      <w:r w:rsidRPr="00EF4E0C">
        <w:t>risk assessment form is available in</w:t>
      </w:r>
      <w:r w:rsidR="0032329C">
        <w:t xml:space="preserve"> in the school ‘risk assessment’ folder</w:t>
      </w:r>
      <w:r w:rsidRPr="00877524">
        <w:rPr>
          <w:rStyle w:val="Hyperlink"/>
          <w:rFonts w:ascii="Arial" w:hAnsi="Arial" w:cs="Arial"/>
          <w:color w:val="000000" w:themeColor="text1"/>
          <w:u w:val="none"/>
        </w:rPr>
        <w:t xml:space="preserve"> – it may be appropriate to use a trip specific risk assessment depending on the potential risks of the trip.</w:t>
      </w:r>
      <w:r w:rsidRPr="00877524">
        <w:t xml:space="preserve"> </w:t>
      </w:r>
    </w:p>
    <w:p w14:paraId="32B8E84B" w14:textId="27E50185" w:rsidR="0032329C" w:rsidRDefault="1F78999C" w:rsidP="006B21B0">
      <w:pPr>
        <w:pStyle w:val="TSB-Level1Numbers"/>
        <w:numPr>
          <w:ilvl w:val="1"/>
          <w:numId w:val="28"/>
        </w:numPr>
        <w:spacing w:before="120" w:after="120"/>
        <w:ind w:left="1480" w:hanging="482"/>
      </w:pPr>
      <w:r>
        <w:t xml:space="preserve">A risk assessment for </w:t>
      </w:r>
      <w:r w:rsidRPr="1F78999C">
        <w:rPr>
          <w:b/>
          <w:bCs/>
        </w:rPr>
        <w:t>all category B trips</w:t>
      </w:r>
      <w:r>
        <w:t xml:space="preserve">, adventurous or residential, will be completed </w:t>
      </w:r>
      <w:r w:rsidRPr="004305F8">
        <w:t>in conjunction with or overseen by</w:t>
      </w:r>
      <w:r>
        <w:t xml:space="preserve"> the educational visits coordinator using EEC live.</w:t>
      </w:r>
    </w:p>
    <w:p w14:paraId="4AF28B96" w14:textId="77777777" w:rsidR="0083130F" w:rsidRDefault="0083130F" w:rsidP="0083130F">
      <w:pPr>
        <w:pStyle w:val="TSB-Level1Numbers"/>
        <w:spacing w:before="120" w:after="120"/>
        <w:ind w:firstLine="0"/>
      </w:pPr>
    </w:p>
    <w:p w14:paraId="0572F04A" w14:textId="114E83A4" w:rsidR="006B21B0" w:rsidRDefault="006B21B0" w:rsidP="006B21B0">
      <w:pPr>
        <w:pStyle w:val="Heading10"/>
        <w:numPr>
          <w:ilvl w:val="0"/>
          <w:numId w:val="28"/>
        </w:numPr>
        <w:spacing w:before="120" w:after="120"/>
        <w:ind w:left="357" w:hanging="357"/>
        <w:contextualSpacing w:val="0"/>
        <w:jc w:val="both"/>
      </w:pPr>
      <w:bookmarkStart w:id="12" w:name="_Equal_opportunities"/>
      <w:bookmarkStart w:id="13" w:name="_[New]_V_etting"/>
      <w:bookmarkEnd w:id="12"/>
      <w:bookmarkEnd w:id="13"/>
      <w:r>
        <w:t>Vetting providers</w:t>
      </w:r>
      <w:r w:rsidR="0083130F">
        <w:t xml:space="preserve"> (Quality Assurance)</w:t>
      </w:r>
    </w:p>
    <w:p w14:paraId="2579054D" w14:textId="77777777" w:rsidR="006B21B0" w:rsidRDefault="006B21B0" w:rsidP="006B21B0">
      <w:pPr>
        <w:pStyle w:val="TSB-Level1Numbers"/>
        <w:numPr>
          <w:ilvl w:val="1"/>
          <w:numId w:val="28"/>
        </w:numPr>
        <w:spacing w:before="120" w:after="120"/>
        <w:ind w:left="1480" w:hanging="482"/>
      </w:pPr>
      <w:r>
        <w:t xml:space="preserve">When considering external providers for activities, the </w:t>
      </w:r>
      <w:r w:rsidRPr="0083130F">
        <w:t>educational visits coordinator</w:t>
      </w:r>
      <w:r>
        <w:t xml:space="preserve"> will check whether they hold the ‘Learning Outside the Classroom Quality Badge’ to indicate they meet nationally recognised standards.</w:t>
      </w:r>
    </w:p>
    <w:p w14:paraId="2ECD1A37" w14:textId="77777777" w:rsidR="006B21B0" w:rsidRDefault="006B21B0" w:rsidP="006B21B0">
      <w:pPr>
        <w:pStyle w:val="TSB-Level1Numbers"/>
        <w:numPr>
          <w:ilvl w:val="1"/>
          <w:numId w:val="28"/>
        </w:numPr>
        <w:spacing w:before="120" w:after="120"/>
        <w:ind w:left="1480" w:hanging="482"/>
      </w:pPr>
      <w:bookmarkStart w:id="14" w:name="sevenpointtwo"/>
      <w:bookmarkStart w:id="15" w:name="Subsection2"/>
      <w:r>
        <w:t xml:space="preserve">If </w:t>
      </w:r>
      <w:bookmarkEnd w:id="14"/>
      <w:r>
        <w:t xml:space="preserve">a </w:t>
      </w:r>
      <w:bookmarkEnd w:id="15"/>
      <w:r>
        <w:t xml:space="preserve">provider does not hold the badge, the </w:t>
      </w:r>
      <w:r w:rsidRPr="0083130F">
        <w:t>educational visits coordinator</w:t>
      </w:r>
      <w:r>
        <w:t xml:space="preserve"> will check the following to ensure they are a suitable organisation to work with:</w:t>
      </w:r>
    </w:p>
    <w:p w14:paraId="0D736F26" w14:textId="77777777" w:rsidR="006B21B0" w:rsidRDefault="006B21B0" w:rsidP="006B21B0">
      <w:pPr>
        <w:pStyle w:val="PolicyBullets"/>
      </w:pPr>
      <w:r>
        <w:t>Their insurance arrangements</w:t>
      </w:r>
    </w:p>
    <w:p w14:paraId="207BBD01" w14:textId="77777777" w:rsidR="006B21B0" w:rsidRDefault="006B21B0" w:rsidP="006B21B0">
      <w:pPr>
        <w:pStyle w:val="PolicyBullets"/>
      </w:pPr>
      <w:r>
        <w:t>Their adherence to legal requirements</w:t>
      </w:r>
    </w:p>
    <w:p w14:paraId="460E8BAE" w14:textId="77777777" w:rsidR="006B21B0" w:rsidRDefault="006B21B0" w:rsidP="006B21B0">
      <w:pPr>
        <w:pStyle w:val="PolicyBullets"/>
      </w:pPr>
      <w:r>
        <w:t>Their control measures</w:t>
      </w:r>
    </w:p>
    <w:p w14:paraId="37117485" w14:textId="77777777" w:rsidR="006B21B0" w:rsidRDefault="006B21B0" w:rsidP="006B21B0">
      <w:pPr>
        <w:pStyle w:val="PolicyBullets"/>
      </w:pPr>
      <w:r>
        <w:t>Their use of vehicles</w:t>
      </w:r>
    </w:p>
    <w:p w14:paraId="33AFD1C8" w14:textId="77777777" w:rsidR="006B21B0" w:rsidRDefault="006B21B0" w:rsidP="006B21B0">
      <w:pPr>
        <w:pStyle w:val="PolicyBullets"/>
      </w:pPr>
      <w:r>
        <w:t>Staff competency levels</w:t>
      </w:r>
    </w:p>
    <w:p w14:paraId="7B0FB9B9" w14:textId="77777777" w:rsidR="006B21B0" w:rsidRDefault="006B21B0" w:rsidP="006B21B0">
      <w:pPr>
        <w:pStyle w:val="PolicyBullets"/>
      </w:pPr>
      <w:r>
        <w:t>Safeguarding policies</w:t>
      </w:r>
    </w:p>
    <w:p w14:paraId="2554E6C5" w14:textId="77777777" w:rsidR="006B21B0" w:rsidRDefault="006B21B0" w:rsidP="006B21B0">
      <w:pPr>
        <w:pStyle w:val="PolicyBullets"/>
      </w:pPr>
      <w:r>
        <w:t>The suitability of their accommodation</w:t>
      </w:r>
    </w:p>
    <w:p w14:paraId="4525D115" w14:textId="77777777" w:rsidR="006B21B0" w:rsidRDefault="006B21B0" w:rsidP="006B21B0">
      <w:pPr>
        <w:pStyle w:val="PolicyBullets"/>
      </w:pPr>
      <w:r>
        <w:t>Any sub-contracting arrangements in place</w:t>
      </w:r>
    </w:p>
    <w:p w14:paraId="56D2F156" w14:textId="77777777" w:rsidR="006B21B0" w:rsidRDefault="006B21B0" w:rsidP="006B21B0">
      <w:pPr>
        <w:pStyle w:val="PolicyBullets"/>
      </w:pPr>
      <w:r>
        <w:t>The presence of necessary licences</w:t>
      </w:r>
    </w:p>
    <w:p w14:paraId="758160DB" w14:textId="77777777" w:rsidR="006B21B0" w:rsidRDefault="006B21B0" w:rsidP="006B21B0">
      <w:pPr>
        <w:pStyle w:val="TSB-Level1Numbers"/>
        <w:numPr>
          <w:ilvl w:val="1"/>
          <w:numId w:val="28"/>
        </w:numPr>
        <w:spacing w:before="120" w:after="120"/>
        <w:ind w:left="1480" w:hanging="482"/>
      </w:pPr>
      <w:r>
        <w:t>If it is deemed appropriate to engage with an external provider, a written agreement will be created outlining what each party is responsible for.</w:t>
      </w:r>
    </w:p>
    <w:p w14:paraId="359790D3" w14:textId="0B5DDEF1" w:rsidR="0083130F" w:rsidRPr="0083130F" w:rsidRDefault="006B21B0" w:rsidP="0083130F">
      <w:pPr>
        <w:pStyle w:val="TSB-Level1Numbers"/>
        <w:numPr>
          <w:ilvl w:val="1"/>
          <w:numId w:val="28"/>
        </w:numPr>
        <w:spacing w:before="120" w:after="120"/>
        <w:ind w:left="1480" w:hanging="482"/>
      </w:pPr>
      <w:r>
        <w:t>If an organisation does not meet the school’s standards, they will not be considered.</w:t>
      </w:r>
    </w:p>
    <w:p w14:paraId="2E51F746" w14:textId="77777777" w:rsidR="006B21B0" w:rsidRDefault="006B21B0" w:rsidP="006B21B0">
      <w:pPr>
        <w:pStyle w:val="Heading10"/>
        <w:numPr>
          <w:ilvl w:val="0"/>
          <w:numId w:val="28"/>
        </w:numPr>
        <w:spacing w:before="120" w:after="120"/>
        <w:ind w:left="357" w:hanging="357"/>
        <w:contextualSpacing w:val="0"/>
        <w:jc w:val="both"/>
      </w:pPr>
      <w:bookmarkStart w:id="16" w:name="_Equal_opportunities_1"/>
      <w:bookmarkEnd w:id="16"/>
      <w:r>
        <w:t>E</w:t>
      </w:r>
      <w:r w:rsidRPr="00EE396D">
        <w:t>qual opportunities</w:t>
      </w:r>
    </w:p>
    <w:p w14:paraId="19881378" w14:textId="77777777" w:rsidR="006B21B0" w:rsidRPr="00EF4E0C" w:rsidRDefault="006B21B0" w:rsidP="006B21B0">
      <w:pPr>
        <w:pStyle w:val="TSB-Level1Numbers"/>
        <w:numPr>
          <w:ilvl w:val="1"/>
          <w:numId w:val="28"/>
        </w:numPr>
        <w:spacing w:before="120" w:after="120"/>
        <w:ind w:left="1480" w:hanging="482"/>
      </w:pPr>
      <w:r w:rsidRPr="00EF4E0C">
        <w:t xml:space="preserve">The school promotes values of equality and does not discriminate against any individual or group of pupils when organising a trip. </w:t>
      </w:r>
    </w:p>
    <w:p w14:paraId="145FB0AC" w14:textId="77777777" w:rsidR="006B21B0" w:rsidRPr="00EF4E0C" w:rsidRDefault="006B21B0" w:rsidP="006B21B0">
      <w:pPr>
        <w:pStyle w:val="TSB-Level1Numbers"/>
        <w:numPr>
          <w:ilvl w:val="1"/>
          <w:numId w:val="28"/>
        </w:numPr>
        <w:spacing w:before="120" w:after="120"/>
        <w:ind w:left="1480" w:hanging="482"/>
      </w:pPr>
      <w:r w:rsidRPr="00EF4E0C">
        <w:t xml:space="preserve">The extra-curricular trips and activities offered to pupils will provide new experiences and develop life skills. </w:t>
      </w:r>
    </w:p>
    <w:p w14:paraId="3609744D" w14:textId="77777777" w:rsidR="006B21B0" w:rsidRPr="00EF4E0C" w:rsidRDefault="006B21B0" w:rsidP="006B21B0">
      <w:pPr>
        <w:pStyle w:val="TSB-Level1Numbers"/>
        <w:numPr>
          <w:ilvl w:val="1"/>
          <w:numId w:val="28"/>
        </w:numPr>
        <w:spacing w:before="120" w:after="120"/>
        <w:ind w:left="1480" w:hanging="482"/>
      </w:pPr>
      <w:r w:rsidRPr="00EF4E0C">
        <w:t xml:space="preserve">Extra-curricular trips and activities are organised, managed and conducted in accordance with the school’s </w:t>
      </w:r>
      <w:r w:rsidRPr="0083130F">
        <w:t>Equal Opportunities Policy</w:t>
      </w:r>
      <w:r w:rsidRPr="00EF4E0C">
        <w:t xml:space="preserve">. </w:t>
      </w:r>
    </w:p>
    <w:p w14:paraId="23BF8232" w14:textId="77777777" w:rsidR="006B21B0" w:rsidRPr="00EF4E0C" w:rsidRDefault="006B21B0" w:rsidP="006B21B0">
      <w:pPr>
        <w:pStyle w:val="TSB-Level1Numbers"/>
        <w:numPr>
          <w:ilvl w:val="1"/>
          <w:numId w:val="28"/>
        </w:numPr>
        <w:spacing w:before="120" w:after="120"/>
        <w:ind w:left="1480" w:hanging="482"/>
      </w:pPr>
      <w:r w:rsidRPr="00EF4E0C">
        <w:lastRenderedPageBreak/>
        <w:t>Due</w:t>
      </w:r>
      <w:r>
        <w:t xml:space="preserve"> to</w:t>
      </w:r>
      <w:r w:rsidRPr="00EF4E0C">
        <w:t xml:space="preserve"> the popularity of some extra-curricular trips and activities, the school offers places on a first come, first served basis. </w:t>
      </w:r>
    </w:p>
    <w:p w14:paraId="04F271F0" w14:textId="77777777" w:rsidR="006B21B0" w:rsidRPr="00EF4E0C" w:rsidRDefault="006B21B0" w:rsidP="006B21B0">
      <w:pPr>
        <w:pStyle w:val="TSB-Level1Numbers"/>
        <w:numPr>
          <w:ilvl w:val="1"/>
          <w:numId w:val="28"/>
        </w:numPr>
        <w:spacing w:before="120" w:after="120"/>
        <w:ind w:left="1480" w:hanging="482"/>
      </w:pPr>
      <w:r w:rsidRPr="00EF4E0C">
        <w:t xml:space="preserve">Any individual, staff or otherwise, shown to be taking preference over one pupil or a group of pupils will be subject to formal disciplinary action. </w:t>
      </w:r>
    </w:p>
    <w:p w14:paraId="6409B962" w14:textId="77777777" w:rsidR="006B21B0" w:rsidRPr="00EF4E0C" w:rsidRDefault="006B21B0" w:rsidP="006B21B0">
      <w:pPr>
        <w:pStyle w:val="TSB-Level1Numbers"/>
        <w:numPr>
          <w:ilvl w:val="1"/>
          <w:numId w:val="28"/>
        </w:numPr>
        <w:spacing w:before="120" w:after="120"/>
        <w:ind w:left="1480" w:hanging="482"/>
      </w:pPr>
      <w:r w:rsidRPr="00EF4E0C">
        <w:t xml:space="preserve">Where possible, pupils will be given the opportunity to contribute to the planning and organisation of extra-curricular trips and activities. </w:t>
      </w:r>
    </w:p>
    <w:p w14:paraId="6419E374" w14:textId="728AD0D2" w:rsidR="006B21B0" w:rsidRDefault="006B21B0" w:rsidP="006B21B0">
      <w:pPr>
        <w:pStyle w:val="TSB-Level1Numbers"/>
        <w:numPr>
          <w:ilvl w:val="1"/>
          <w:numId w:val="28"/>
        </w:numPr>
        <w:spacing w:before="120" w:after="120"/>
        <w:ind w:left="1480" w:hanging="482"/>
      </w:pPr>
      <w:r w:rsidRPr="00EF4E0C">
        <w:t xml:space="preserve">For school trips that require additional payment, the fee will be reasonable and help will be provided where possible for pupils who cannot afford the initial fee. </w:t>
      </w:r>
    </w:p>
    <w:p w14:paraId="527A0797" w14:textId="35877D9B" w:rsidR="0083130F" w:rsidRDefault="0083130F" w:rsidP="0083130F">
      <w:pPr>
        <w:pStyle w:val="Heading10"/>
        <w:numPr>
          <w:ilvl w:val="0"/>
          <w:numId w:val="0"/>
        </w:numPr>
        <w:spacing w:before="120" w:after="120"/>
        <w:ind w:left="360"/>
      </w:pPr>
    </w:p>
    <w:p w14:paraId="05ED8340" w14:textId="5BD2D1ED" w:rsidR="006B21B0" w:rsidRDefault="006B21B0" w:rsidP="006B21B0">
      <w:pPr>
        <w:spacing w:before="120" w:after="120"/>
        <w:jc w:val="both"/>
      </w:pPr>
      <w:bookmarkStart w:id="17" w:name="_Safe_use_of"/>
      <w:bookmarkEnd w:id="17"/>
    </w:p>
    <w:p w14:paraId="03D0D0F2" w14:textId="77777777" w:rsidR="006B21B0" w:rsidRDefault="006B21B0" w:rsidP="006B21B0">
      <w:pPr>
        <w:pStyle w:val="Heading10"/>
        <w:numPr>
          <w:ilvl w:val="0"/>
          <w:numId w:val="28"/>
        </w:numPr>
        <w:spacing w:before="120" w:after="120"/>
        <w:ind w:left="357" w:hanging="357"/>
        <w:contextualSpacing w:val="0"/>
        <w:jc w:val="both"/>
      </w:pPr>
      <w:bookmarkStart w:id="18" w:name="_Parental_consent"/>
      <w:bookmarkEnd w:id="18"/>
      <w:r w:rsidRPr="00EE396D">
        <w:t>Parental consent</w:t>
      </w:r>
    </w:p>
    <w:p w14:paraId="7CEC8B35" w14:textId="77777777" w:rsidR="006B21B0" w:rsidRPr="00EF4E0C" w:rsidRDefault="006B21B0" w:rsidP="006B21B0">
      <w:pPr>
        <w:pStyle w:val="TSB-Level1Numbers"/>
        <w:numPr>
          <w:ilvl w:val="1"/>
          <w:numId w:val="28"/>
        </w:numPr>
        <w:spacing w:before="120" w:after="120"/>
        <w:ind w:left="1480" w:hanging="482"/>
      </w:pPr>
      <w:r w:rsidRPr="00EF4E0C">
        <w:t>Parental consent is not generally required for off-site activities that take place during school hours.</w:t>
      </w:r>
    </w:p>
    <w:p w14:paraId="19A57268" w14:textId="77777777" w:rsidR="006B21B0" w:rsidRPr="00EF4E0C" w:rsidRDefault="006B21B0" w:rsidP="006B21B0">
      <w:pPr>
        <w:pStyle w:val="TSB-Level1Numbers"/>
        <w:numPr>
          <w:ilvl w:val="1"/>
          <w:numId w:val="28"/>
        </w:numPr>
        <w:spacing w:before="120" w:after="120"/>
        <w:ind w:left="1480" w:hanging="482"/>
      </w:pPr>
      <w:r w:rsidRPr="00EF4E0C">
        <w:t>Written consent is required for:</w:t>
      </w:r>
    </w:p>
    <w:p w14:paraId="7B22C6E3" w14:textId="77777777" w:rsidR="006B21B0" w:rsidRPr="00EF4E0C" w:rsidRDefault="006B21B0" w:rsidP="006B21B0">
      <w:pPr>
        <w:pStyle w:val="PolicyBullets"/>
        <w:spacing w:before="120" w:after="120"/>
        <w:contextualSpacing w:val="0"/>
        <w:jc w:val="both"/>
      </w:pPr>
      <w:r w:rsidRPr="00EF4E0C">
        <w:t>Activities of an adventurous nature.</w:t>
      </w:r>
    </w:p>
    <w:p w14:paraId="0034DAC5" w14:textId="77777777" w:rsidR="006B21B0" w:rsidRPr="00EF4E0C" w:rsidRDefault="006B21B0" w:rsidP="006B21B0">
      <w:pPr>
        <w:pStyle w:val="PolicyBullets"/>
        <w:spacing w:before="120" w:after="120"/>
        <w:contextualSpacing w:val="0"/>
        <w:jc w:val="both"/>
      </w:pPr>
      <w:r w:rsidRPr="00EF4E0C">
        <w:t>Residential trips.</w:t>
      </w:r>
    </w:p>
    <w:p w14:paraId="06B9650D" w14:textId="77777777" w:rsidR="006B21B0" w:rsidRPr="00EF4E0C" w:rsidRDefault="006B21B0" w:rsidP="006B21B0">
      <w:pPr>
        <w:pStyle w:val="PolicyBullets"/>
        <w:spacing w:before="120" w:after="120"/>
        <w:contextualSpacing w:val="0"/>
        <w:jc w:val="both"/>
      </w:pPr>
      <w:r w:rsidRPr="00EF4E0C">
        <w:t>Foreign trips.</w:t>
      </w:r>
    </w:p>
    <w:p w14:paraId="11666105" w14:textId="77777777" w:rsidR="006B21B0" w:rsidRPr="00EF4E0C" w:rsidRDefault="006B21B0" w:rsidP="006B21B0">
      <w:pPr>
        <w:pStyle w:val="PolicyBullets"/>
        <w:spacing w:before="120" w:after="120"/>
        <w:contextualSpacing w:val="0"/>
        <w:jc w:val="both"/>
      </w:pPr>
      <w:r w:rsidRPr="00EF4E0C">
        <w:t>Trips outside of school hours.</w:t>
      </w:r>
    </w:p>
    <w:p w14:paraId="1FA4AEA3" w14:textId="77777777" w:rsidR="006B21B0" w:rsidRPr="00EF4E0C" w:rsidRDefault="006B21B0" w:rsidP="006B21B0">
      <w:pPr>
        <w:pStyle w:val="TSB-Level1Numbers"/>
        <w:numPr>
          <w:ilvl w:val="1"/>
          <w:numId w:val="28"/>
        </w:numPr>
        <w:spacing w:before="120" w:after="120"/>
        <w:ind w:left="1480" w:hanging="482"/>
      </w:pPr>
      <w:bookmarkStart w:id="19" w:name="_Smoking_and_Drug"/>
      <w:bookmarkStart w:id="20" w:name="_Absence_Procedures"/>
      <w:bookmarkStart w:id="21" w:name="_Curriculum_Based_Physical"/>
      <w:bookmarkEnd w:id="19"/>
      <w:bookmarkEnd w:id="20"/>
      <w:bookmarkEnd w:id="21"/>
      <w:r w:rsidRPr="00EF4E0C">
        <w:t xml:space="preserve">If preferable and appropriate, parents may complete an </w:t>
      </w:r>
      <w:hyperlink w:anchor="Appendix1" w:history="1">
        <w:r w:rsidRPr="00F459DD">
          <w:t>annual</w:t>
        </w:r>
      </w:hyperlink>
      <w:r w:rsidRPr="00F459DD">
        <w:t xml:space="preserve"> </w:t>
      </w:r>
      <w:r w:rsidRPr="00EF4E0C">
        <w:t xml:space="preserve">consent form at the start of any academic year which gives consent for their child to be involved in any and all activities, both on and off-site, that take place at any time, including the school holidays. </w:t>
      </w:r>
    </w:p>
    <w:p w14:paraId="0BCC65CB" w14:textId="77777777" w:rsidR="006B21B0" w:rsidRPr="00EF4E0C" w:rsidRDefault="006B21B0" w:rsidP="006B21B0">
      <w:pPr>
        <w:pStyle w:val="TSB-Level1Numbers"/>
        <w:numPr>
          <w:ilvl w:val="1"/>
          <w:numId w:val="28"/>
        </w:numPr>
        <w:spacing w:before="120" w:after="120"/>
        <w:ind w:left="1480" w:hanging="482"/>
      </w:pPr>
      <w:r w:rsidRPr="00EF4E0C">
        <w:t xml:space="preserve">Separate consent will be sought for trips which require payment. </w:t>
      </w:r>
    </w:p>
    <w:p w14:paraId="3B69CBEA" w14:textId="5214FDE9" w:rsidR="006B21B0" w:rsidRDefault="006B21B0" w:rsidP="006B21B0">
      <w:pPr>
        <w:pStyle w:val="TSB-Level1Numbers"/>
        <w:numPr>
          <w:ilvl w:val="1"/>
          <w:numId w:val="28"/>
        </w:numPr>
        <w:spacing w:before="120" w:after="120"/>
        <w:ind w:left="1480" w:hanging="482"/>
      </w:pPr>
      <w:r w:rsidRPr="00EF4E0C">
        <w:t>Parents will be informed of activities by letter and will have the opportunity to withdraw their child from t</w:t>
      </w:r>
      <w:r w:rsidR="0083130F">
        <w:t>aking part.</w:t>
      </w:r>
    </w:p>
    <w:p w14:paraId="0A5DC564" w14:textId="1C352AA1" w:rsidR="0083130F" w:rsidRDefault="0083130F" w:rsidP="0083130F">
      <w:pPr>
        <w:pStyle w:val="Heading10"/>
        <w:numPr>
          <w:ilvl w:val="0"/>
          <w:numId w:val="0"/>
        </w:numPr>
        <w:spacing w:before="120" w:after="120"/>
        <w:ind w:left="360"/>
      </w:pPr>
    </w:p>
    <w:p w14:paraId="3EB1270C" w14:textId="2D33D8EB" w:rsidR="0083130F" w:rsidRDefault="0083130F" w:rsidP="0083130F"/>
    <w:p w14:paraId="391575E1" w14:textId="77777777" w:rsidR="0083130F" w:rsidRPr="0083130F" w:rsidRDefault="0083130F" w:rsidP="0083130F"/>
    <w:p w14:paraId="64C0A3D0" w14:textId="77777777" w:rsidR="006B21B0" w:rsidRDefault="006B21B0" w:rsidP="006B21B0">
      <w:pPr>
        <w:pStyle w:val="Heading10"/>
        <w:numPr>
          <w:ilvl w:val="0"/>
          <w:numId w:val="28"/>
        </w:numPr>
        <w:spacing w:before="120" w:after="120"/>
        <w:ind w:left="357" w:hanging="357"/>
        <w:contextualSpacing w:val="0"/>
        <w:jc w:val="both"/>
      </w:pPr>
      <w:bookmarkStart w:id="22" w:name="_Staffing_ratios"/>
      <w:bookmarkEnd w:id="22"/>
      <w:r w:rsidRPr="00EE396D">
        <w:t>Staffing ratios</w:t>
      </w:r>
    </w:p>
    <w:p w14:paraId="4D5955F4" w14:textId="77777777" w:rsidR="006B21B0" w:rsidRDefault="006B21B0" w:rsidP="006B21B0">
      <w:pPr>
        <w:pStyle w:val="TSB-Level1Numbers"/>
        <w:numPr>
          <w:ilvl w:val="1"/>
          <w:numId w:val="28"/>
        </w:numPr>
        <w:spacing w:before="120" w:after="120"/>
        <w:ind w:left="1480" w:hanging="482"/>
      </w:pPr>
      <w:r w:rsidRPr="00EF4E0C">
        <w:t>There will be sufficient staff to cope in an emergency and generally. Our minimum staff to pupil ratios are as follows:</w:t>
      </w:r>
    </w:p>
    <w:p w14:paraId="774340FD" w14:textId="5EC654E7" w:rsidR="006B21B0" w:rsidRPr="004305F8" w:rsidRDefault="1F78999C" w:rsidP="006B21B0">
      <w:pPr>
        <w:pStyle w:val="PolicyBullets"/>
        <w:spacing w:before="120" w:after="120"/>
        <w:contextualSpacing w:val="0"/>
        <w:jc w:val="both"/>
        <w:rPr>
          <w:rFonts w:eastAsiaTheme="minorEastAsia"/>
        </w:rPr>
      </w:pPr>
      <w:r>
        <w:t xml:space="preserve">Abroad: </w:t>
      </w:r>
      <w:r w:rsidRPr="004305F8">
        <w:t>1:10 (mainstream) - I suggest 1:4</w:t>
      </w:r>
    </w:p>
    <w:p w14:paraId="6A211175" w14:textId="411A1734" w:rsidR="006B21B0" w:rsidRPr="004305F8" w:rsidRDefault="1F78999C" w:rsidP="006B21B0">
      <w:pPr>
        <w:pStyle w:val="PolicyBullets"/>
        <w:spacing w:before="120" w:after="120"/>
        <w:contextualSpacing w:val="0"/>
        <w:jc w:val="both"/>
        <w:rPr>
          <w:rFonts w:eastAsiaTheme="minorEastAsia"/>
        </w:rPr>
      </w:pPr>
      <w:r w:rsidRPr="004305F8">
        <w:lastRenderedPageBreak/>
        <w:t>Other residential: 1:10 (mainstream) - I suggest 1:4</w:t>
      </w:r>
    </w:p>
    <w:p w14:paraId="11A7B6E9" w14:textId="726AFF1B" w:rsidR="006B21B0" w:rsidRPr="004305F8" w:rsidRDefault="1F78999C" w:rsidP="006B21B0">
      <w:pPr>
        <w:pStyle w:val="PolicyBullets"/>
        <w:spacing w:before="120" w:after="120"/>
        <w:contextualSpacing w:val="0"/>
        <w:jc w:val="both"/>
        <w:rPr>
          <w:rFonts w:eastAsiaTheme="minorEastAsia"/>
        </w:rPr>
      </w:pPr>
      <w:r w:rsidRPr="004305F8">
        <w:t>High risk: 1:6 (mainstream) - I suggest 1:2</w:t>
      </w:r>
    </w:p>
    <w:p w14:paraId="6A20B05B" w14:textId="3D1374A6" w:rsidR="006B21B0" w:rsidRPr="004305F8" w:rsidRDefault="1F78999C" w:rsidP="006B21B0">
      <w:pPr>
        <w:pStyle w:val="PolicyBullets"/>
        <w:spacing w:before="120" w:after="120"/>
        <w:contextualSpacing w:val="0"/>
        <w:jc w:val="both"/>
      </w:pPr>
      <w:r w:rsidRPr="004305F8">
        <w:t>Day trip visits: 1:15 (mainstream) - I suggest 1:4</w:t>
      </w:r>
    </w:p>
    <w:p w14:paraId="048DA6AC" w14:textId="77777777" w:rsidR="0083130F" w:rsidRPr="00FC7D87" w:rsidRDefault="0083130F" w:rsidP="0083130F">
      <w:pPr>
        <w:pStyle w:val="PolicyBullets"/>
        <w:numPr>
          <w:ilvl w:val="0"/>
          <w:numId w:val="0"/>
        </w:numPr>
        <w:spacing w:before="120" w:after="120"/>
        <w:ind w:left="1925"/>
        <w:contextualSpacing w:val="0"/>
        <w:jc w:val="both"/>
      </w:pPr>
    </w:p>
    <w:p w14:paraId="031A773E" w14:textId="77777777" w:rsidR="006B21B0" w:rsidRDefault="006B21B0" w:rsidP="006B21B0">
      <w:pPr>
        <w:pStyle w:val="Heading10"/>
        <w:numPr>
          <w:ilvl w:val="0"/>
          <w:numId w:val="28"/>
        </w:numPr>
        <w:spacing w:before="120" w:after="120"/>
        <w:ind w:left="357" w:hanging="357"/>
        <w:contextualSpacing w:val="0"/>
        <w:jc w:val="both"/>
      </w:pPr>
      <w:bookmarkStart w:id="23" w:name="_Insurance_and_licensing"/>
      <w:bookmarkEnd w:id="23"/>
      <w:r w:rsidRPr="00EE396D">
        <w:t>Insurance and licensing</w:t>
      </w:r>
    </w:p>
    <w:p w14:paraId="295D3362" w14:textId="77777777" w:rsidR="006B21B0" w:rsidRPr="00EF4E0C" w:rsidRDefault="006B21B0" w:rsidP="006B21B0">
      <w:pPr>
        <w:pStyle w:val="TSB-Level1Numbers"/>
        <w:numPr>
          <w:ilvl w:val="1"/>
          <w:numId w:val="28"/>
        </w:numPr>
        <w:spacing w:before="120" w:after="120"/>
        <w:ind w:left="1480" w:hanging="482"/>
      </w:pPr>
      <w:r w:rsidRPr="00EF4E0C">
        <w:t xml:space="preserve">When planning activities of an adventurous nature in the UK, the </w:t>
      </w:r>
      <w:r w:rsidRPr="0083130F">
        <w:t xml:space="preserve">educational visits coordinator </w:t>
      </w:r>
      <w:r w:rsidRPr="00EF4E0C">
        <w:t>will check that the provider of the activity holds a current licence.</w:t>
      </w:r>
    </w:p>
    <w:p w14:paraId="7788F05F" w14:textId="77777777" w:rsidR="006B21B0" w:rsidRPr="00EF4E0C" w:rsidRDefault="006B21B0" w:rsidP="006B21B0">
      <w:pPr>
        <w:pStyle w:val="TSB-Level1Numbers"/>
        <w:numPr>
          <w:ilvl w:val="1"/>
          <w:numId w:val="28"/>
        </w:numPr>
        <w:spacing w:before="120" w:after="120"/>
        <w:ind w:left="1480" w:hanging="482"/>
      </w:pPr>
      <w:r w:rsidRPr="00EF4E0C">
        <w:t>Insurance will be organised for every trip, no matter how short, to ensure adequate protection and medical cover</w:t>
      </w:r>
      <w:r>
        <w:t xml:space="preserve"> is in place</w:t>
      </w:r>
      <w:r w:rsidRPr="00EF4E0C">
        <w:t xml:space="preserve">. </w:t>
      </w:r>
    </w:p>
    <w:p w14:paraId="5B7A5F13" w14:textId="77777777" w:rsidR="006B21B0" w:rsidRPr="00EF4E0C" w:rsidRDefault="006B21B0" w:rsidP="006B21B0">
      <w:pPr>
        <w:pStyle w:val="TSB-Level1Numbers"/>
        <w:numPr>
          <w:ilvl w:val="1"/>
          <w:numId w:val="28"/>
        </w:numPr>
        <w:spacing w:before="120" w:after="120"/>
        <w:ind w:left="1480" w:hanging="482"/>
      </w:pPr>
      <w:r w:rsidRPr="00EF4E0C">
        <w:t>Parents will be informed of the limits of any insurance cover.</w:t>
      </w:r>
    </w:p>
    <w:p w14:paraId="009E51C5" w14:textId="77777777" w:rsidR="006B21B0" w:rsidRPr="00EF4E0C" w:rsidRDefault="006B21B0" w:rsidP="006B21B0">
      <w:pPr>
        <w:pStyle w:val="TSB-Level1Numbers"/>
        <w:numPr>
          <w:ilvl w:val="1"/>
          <w:numId w:val="28"/>
        </w:numPr>
        <w:spacing w:before="120" w:after="120"/>
        <w:ind w:left="1480" w:hanging="482"/>
      </w:pPr>
      <w:r w:rsidRPr="00EF4E0C">
        <w:t>Where a crime is committed against a member of the party, it will be reported to local police as soon as possible.</w:t>
      </w:r>
    </w:p>
    <w:p w14:paraId="54B39B54" w14:textId="5472D64D" w:rsidR="006B21B0" w:rsidRDefault="006B21B0" w:rsidP="006B21B0">
      <w:pPr>
        <w:pStyle w:val="TSB-Level1Numbers"/>
        <w:numPr>
          <w:ilvl w:val="1"/>
          <w:numId w:val="28"/>
        </w:numPr>
        <w:spacing w:before="120" w:after="120"/>
        <w:ind w:left="1480" w:hanging="482"/>
      </w:pPr>
      <w:r w:rsidRPr="00EF4E0C">
        <w:t xml:space="preserve">Medical expenses will be recorded and stored in </w:t>
      </w:r>
      <w:r w:rsidRPr="0083130F">
        <w:t>the school office</w:t>
      </w:r>
      <w:r w:rsidRPr="00EF4E0C">
        <w:t>.</w:t>
      </w:r>
    </w:p>
    <w:p w14:paraId="01420C29" w14:textId="69959F7F" w:rsidR="0083130F" w:rsidRDefault="0083130F" w:rsidP="0083130F">
      <w:pPr>
        <w:pStyle w:val="Heading10"/>
        <w:numPr>
          <w:ilvl w:val="0"/>
          <w:numId w:val="0"/>
        </w:numPr>
        <w:spacing w:before="120" w:after="120"/>
        <w:ind w:left="360"/>
      </w:pPr>
    </w:p>
    <w:p w14:paraId="2C14C01A" w14:textId="77777777" w:rsidR="0083130F" w:rsidRPr="0083130F" w:rsidRDefault="0083130F" w:rsidP="0083130F"/>
    <w:p w14:paraId="095AB82B" w14:textId="77777777" w:rsidR="006B21B0" w:rsidRDefault="006B21B0" w:rsidP="006B21B0">
      <w:pPr>
        <w:pStyle w:val="Heading10"/>
        <w:numPr>
          <w:ilvl w:val="0"/>
          <w:numId w:val="28"/>
        </w:numPr>
        <w:spacing w:before="120" w:after="120"/>
        <w:ind w:left="357" w:hanging="357"/>
        <w:contextualSpacing w:val="0"/>
        <w:jc w:val="both"/>
      </w:pPr>
      <w:bookmarkStart w:id="24" w:name="_Accidents_and_incidents"/>
      <w:bookmarkEnd w:id="24"/>
      <w:r w:rsidRPr="00EE396D">
        <w:t>Accidents and incidents</w:t>
      </w:r>
    </w:p>
    <w:p w14:paraId="7857EF9B" w14:textId="77777777" w:rsidR="006B21B0" w:rsidRPr="00EF4E0C" w:rsidRDefault="006B21B0" w:rsidP="006B21B0">
      <w:pPr>
        <w:pStyle w:val="TSB-Level1Numbers"/>
        <w:numPr>
          <w:ilvl w:val="1"/>
          <w:numId w:val="28"/>
        </w:numPr>
        <w:spacing w:before="120" w:after="120"/>
        <w:ind w:left="1480" w:hanging="482"/>
      </w:pPr>
      <w:r w:rsidRPr="00EF4E0C">
        <w:t xml:space="preserve">In the case of accidents and injuries while on a school trip in the UK, the school’s accident reporting process will begin, as detailed in the </w:t>
      </w:r>
      <w:r w:rsidRPr="0083130F">
        <w:t>Health and Safety Policy</w:t>
      </w:r>
      <w:r w:rsidRPr="00EF4E0C">
        <w:t>.</w:t>
      </w:r>
    </w:p>
    <w:p w14:paraId="60901108" w14:textId="77777777" w:rsidR="006B21B0" w:rsidRPr="00EF4E0C" w:rsidRDefault="006B21B0" w:rsidP="006B21B0">
      <w:pPr>
        <w:pStyle w:val="TSB-Level1Numbers"/>
        <w:numPr>
          <w:ilvl w:val="1"/>
          <w:numId w:val="28"/>
        </w:numPr>
        <w:spacing w:before="120" w:after="120"/>
        <w:ind w:left="1480" w:hanging="482"/>
      </w:pPr>
      <w:r w:rsidRPr="00EF4E0C">
        <w:t>In the case of accidents and injuries while on a school trip abroad:</w:t>
      </w:r>
    </w:p>
    <w:p w14:paraId="11EA4656" w14:textId="77777777" w:rsidR="006B21B0" w:rsidRPr="00FC7D87" w:rsidRDefault="006B21B0" w:rsidP="006B21B0">
      <w:pPr>
        <w:pStyle w:val="PolicyBullets"/>
        <w:spacing w:before="120" w:after="120"/>
        <w:contextualSpacing w:val="0"/>
        <w:jc w:val="both"/>
      </w:pPr>
      <w:r w:rsidRPr="00FC7D87">
        <w:t xml:space="preserve">Organisers will cooperate fully with </w:t>
      </w:r>
      <w:r>
        <w:t>local</w:t>
      </w:r>
      <w:r w:rsidRPr="00FC7D87">
        <w:t xml:space="preserve"> emergency services and understand that any injury or death of a member of staff or pupil outside of Great Britain may be subject to the law of the land where the accident occurred.</w:t>
      </w:r>
    </w:p>
    <w:p w14:paraId="63991054" w14:textId="77777777" w:rsidR="006B21B0" w:rsidRPr="00FC7D87" w:rsidRDefault="006B21B0" w:rsidP="006B21B0">
      <w:pPr>
        <w:pStyle w:val="PolicyBullets"/>
        <w:spacing w:before="120" w:after="120"/>
        <w:contextualSpacing w:val="0"/>
        <w:jc w:val="both"/>
      </w:pPr>
      <w:r w:rsidRPr="00FC7D87">
        <w:t>The first point of contact within the UK will be the headteacher who will contact the family of the injured person.</w:t>
      </w:r>
    </w:p>
    <w:p w14:paraId="02146479" w14:textId="77777777" w:rsidR="006B21B0" w:rsidRPr="00FC7D87" w:rsidRDefault="006B21B0" w:rsidP="006B21B0">
      <w:pPr>
        <w:pStyle w:val="PolicyBullets"/>
        <w:spacing w:before="120" w:after="120"/>
        <w:contextualSpacing w:val="0"/>
        <w:jc w:val="both"/>
      </w:pPr>
      <w:r w:rsidRPr="00FC7D87">
        <w:t>Pupils will be asked not to contact friends or parents in the UK until the family of the injured person can be contacted.</w:t>
      </w:r>
    </w:p>
    <w:p w14:paraId="635F3665" w14:textId="77777777" w:rsidR="006B21B0" w:rsidRPr="00FC7D87" w:rsidRDefault="006B21B0" w:rsidP="006B21B0">
      <w:pPr>
        <w:pStyle w:val="PolicyBullets"/>
        <w:spacing w:before="120" w:after="120"/>
        <w:contextualSpacing w:val="0"/>
        <w:jc w:val="both"/>
      </w:pPr>
      <w:r w:rsidRPr="00FC7D87">
        <w:t>The British Embassy/Consulate will be informed.</w:t>
      </w:r>
    </w:p>
    <w:p w14:paraId="56B6A2A0" w14:textId="77777777" w:rsidR="006B21B0" w:rsidRPr="00FC7D87" w:rsidRDefault="006B21B0" w:rsidP="006B21B0">
      <w:pPr>
        <w:pStyle w:val="PolicyBullets"/>
        <w:spacing w:before="120" w:after="120"/>
        <w:contextualSpacing w:val="0"/>
        <w:jc w:val="both"/>
      </w:pPr>
      <w:r w:rsidRPr="00FC7D87">
        <w:t>The insurer will be notified.</w:t>
      </w:r>
    </w:p>
    <w:p w14:paraId="3789AE1D" w14:textId="2850CC56" w:rsidR="006B21B0" w:rsidRPr="00EF4E0C" w:rsidRDefault="006B21B0" w:rsidP="006B21B0">
      <w:pPr>
        <w:pStyle w:val="TSB-Level1Numbers"/>
        <w:numPr>
          <w:ilvl w:val="1"/>
          <w:numId w:val="28"/>
        </w:numPr>
        <w:spacing w:before="120" w:after="120"/>
        <w:ind w:left="1480" w:hanging="482"/>
      </w:pPr>
      <w:r w:rsidRPr="00EF4E0C">
        <w:t xml:space="preserve">The </w:t>
      </w:r>
      <w:r w:rsidRPr="0083130F">
        <w:t>headteacher</w:t>
      </w:r>
      <w:r w:rsidRPr="00EF4E0C">
        <w:t xml:space="preserve"> will keep written records of any incident</w:t>
      </w:r>
      <w:r>
        <w:t>s, accidents and near misses.</w:t>
      </w:r>
    </w:p>
    <w:p w14:paraId="37E96E25" w14:textId="26A54CBB" w:rsidR="006B21B0" w:rsidRPr="00EF4E0C" w:rsidRDefault="006B21B0" w:rsidP="006B21B0">
      <w:pPr>
        <w:pStyle w:val="TSB-Level1Numbers"/>
        <w:numPr>
          <w:ilvl w:val="1"/>
          <w:numId w:val="28"/>
        </w:numPr>
        <w:spacing w:before="120" w:after="120"/>
        <w:ind w:left="1480" w:hanging="482"/>
      </w:pPr>
      <w:r w:rsidRPr="00EF4E0C">
        <w:lastRenderedPageBreak/>
        <w:t xml:space="preserve">Media enquiries will be referred to the </w:t>
      </w:r>
      <w:r w:rsidRPr="0083130F">
        <w:t>headteacher</w:t>
      </w:r>
      <w:r w:rsidRPr="00EF4E0C">
        <w:t xml:space="preserve"> or, if they are not available, the </w:t>
      </w:r>
      <w:r w:rsidRPr="0083130F">
        <w:t>deputy headt</w:t>
      </w:r>
      <w:r w:rsidR="0083130F">
        <w:t>eacher or the clerk to the management committee</w:t>
      </w:r>
      <w:r w:rsidRPr="00EF4E0C">
        <w:t>.</w:t>
      </w:r>
    </w:p>
    <w:p w14:paraId="11335298" w14:textId="77777777" w:rsidR="006B21B0" w:rsidRPr="00EF4E0C" w:rsidRDefault="006B21B0" w:rsidP="006B21B0">
      <w:pPr>
        <w:pStyle w:val="TSB-Level1Numbers"/>
        <w:numPr>
          <w:ilvl w:val="1"/>
          <w:numId w:val="28"/>
        </w:numPr>
        <w:spacing w:before="120" w:after="120"/>
        <w:ind w:left="1480" w:hanging="482"/>
      </w:pPr>
      <w:r w:rsidRPr="00EF4E0C">
        <w:t xml:space="preserve">Staff will use guidance as set out in the </w:t>
      </w:r>
      <w:r w:rsidRPr="0083130F">
        <w:t>Critical Incident Policy</w:t>
      </w:r>
      <w:r w:rsidRPr="00EF4E0C">
        <w:t xml:space="preserve">, in particular the ‘after a critical incident’ section, to ensure the safety of pupils and staff should anything happen, e.g. a terrorist attack. </w:t>
      </w:r>
    </w:p>
    <w:p w14:paraId="78F439D4" w14:textId="77777777" w:rsidR="006B21B0" w:rsidRPr="00EF4E0C" w:rsidRDefault="006B21B0" w:rsidP="006B21B0">
      <w:pPr>
        <w:pStyle w:val="TSB-Level1Numbers"/>
        <w:numPr>
          <w:ilvl w:val="1"/>
          <w:numId w:val="28"/>
        </w:numPr>
        <w:spacing w:before="120" w:after="120"/>
        <w:ind w:left="1480" w:hanging="482"/>
      </w:pPr>
      <w:r w:rsidRPr="00EF4E0C">
        <w:t>Staff will be briefed on how to react and respond should an emergency situation occur, e.g. a terrorist attack.</w:t>
      </w:r>
    </w:p>
    <w:p w14:paraId="4C5B6516" w14:textId="77777777" w:rsidR="006B21B0" w:rsidRPr="00EF4E0C" w:rsidRDefault="006B21B0" w:rsidP="006B21B0">
      <w:pPr>
        <w:pStyle w:val="TSB-Level1Numbers"/>
        <w:numPr>
          <w:ilvl w:val="1"/>
          <w:numId w:val="28"/>
        </w:numPr>
        <w:spacing w:before="120" w:after="120"/>
        <w:ind w:left="1480" w:hanging="482"/>
      </w:pPr>
      <w:r w:rsidRPr="00EF4E0C">
        <w:t>Relevant risk assessments will be undertaken before the trip, including for points of interests such as museum</w:t>
      </w:r>
      <w:r>
        <w:t>s</w:t>
      </w:r>
      <w:r w:rsidRPr="00EF4E0C">
        <w:t xml:space="preserve"> and hotel</w:t>
      </w:r>
      <w:r>
        <w:t>s</w:t>
      </w:r>
      <w:r w:rsidRPr="00EF4E0C">
        <w:t>.</w:t>
      </w:r>
    </w:p>
    <w:p w14:paraId="6941EC8F" w14:textId="6734F164" w:rsidR="006B21B0" w:rsidRDefault="006B21B0" w:rsidP="006B21B0">
      <w:pPr>
        <w:pStyle w:val="TSB-Level1Numbers"/>
        <w:numPr>
          <w:ilvl w:val="1"/>
          <w:numId w:val="28"/>
        </w:numPr>
        <w:spacing w:before="120" w:after="120"/>
        <w:ind w:left="1480" w:hanging="482"/>
      </w:pPr>
      <w:r w:rsidRPr="00EF4E0C">
        <w:t>Pupils and staff are informed of an evacuation plan before entering trip venues; this should include an agreed rendezvous point, to ensure everyone knows what to do in an emergency.</w:t>
      </w:r>
    </w:p>
    <w:p w14:paraId="751D84A8" w14:textId="0877207D" w:rsidR="0083130F" w:rsidRDefault="0083130F" w:rsidP="0083130F">
      <w:pPr>
        <w:pStyle w:val="TSB-Level1Numbers"/>
        <w:spacing w:before="120" w:after="120"/>
        <w:ind w:firstLine="0"/>
      </w:pPr>
    </w:p>
    <w:p w14:paraId="5D260DD6" w14:textId="77777777" w:rsidR="0083130F" w:rsidRPr="00EF4E0C" w:rsidRDefault="0083130F" w:rsidP="0083130F">
      <w:pPr>
        <w:pStyle w:val="TSB-Level1Numbers"/>
        <w:spacing w:before="120" w:after="120"/>
        <w:ind w:firstLine="0"/>
      </w:pPr>
    </w:p>
    <w:p w14:paraId="73D06F67" w14:textId="77777777" w:rsidR="006B21B0" w:rsidRDefault="006B21B0" w:rsidP="006B21B0">
      <w:pPr>
        <w:pStyle w:val="Heading10"/>
        <w:numPr>
          <w:ilvl w:val="0"/>
          <w:numId w:val="28"/>
        </w:numPr>
        <w:spacing w:before="120" w:after="120"/>
        <w:ind w:left="357" w:hanging="357"/>
        <w:contextualSpacing w:val="0"/>
        <w:jc w:val="both"/>
      </w:pPr>
      <w:bookmarkStart w:id="25" w:name="pt9"/>
      <w:bookmarkStart w:id="26" w:name="_Missing_person_procedure"/>
      <w:bookmarkEnd w:id="25"/>
      <w:bookmarkEnd w:id="26"/>
      <w:r w:rsidRPr="00EE396D">
        <w:t>Missing person procedure</w:t>
      </w:r>
    </w:p>
    <w:p w14:paraId="1E4EB091" w14:textId="77777777" w:rsidR="006B21B0" w:rsidRPr="00EF4E0C" w:rsidRDefault="006B21B0" w:rsidP="006B21B0">
      <w:pPr>
        <w:pStyle w:val="TSB-Level1Numbers"/>
        <w:numPr>
          <w:ilvl w:val="1"/>
          <w:numId w:val="28"/>
        </w:numPr>
        <w:spacing w:before="120" w:after="120"/>
        <w:ind w:left="1480" w:hanging="482"/>
      </w:pPr>
      <w:r w:rsidRPr="00EF4E0C">
        <w:t xml:space="preserve">The school places pupil and staff safety as its top priority when participating in school trips, either domestically or abroad. </w:t>
      </w:r>
    </w:p>
    <w:p w14:paraId="4BD85EC0" w14:textId="77777777" w:rsidR="006B21B0" w:rsidRPr="00EF4E0C" w:rsidRDefault="006B21B0" w:rsidP="006B21B0">
      <w:pPr>
        <w:pStyle w:val="TSB-Level1Numbers"/>
        <w:numPr>
          <w:ilvl w:val="1"/>
          <w:numId w:val="28"/>
        </w:numPr>
        <w:spacing w:before="120" w:after="120"/>
        <w:ind w:left="1480" w:hanging="482"/>
      </w:pPr>
      <w:r w:rsidRPr="00EF4E0C">
        <w:t xml:space="preserve">Before embarking on the trip, extensive risk assessments are undertaken in accordance with </w:t>
      </w:r>
      <w:hyperlink w:anchor="_Risk_assessment_process" w:history="1">
        <w:r w:rsidRPr="00EF4E0C">
          <w:rPr>
            <w:rStyle w:val="Hyperlink"/>
            <w:rFonts w:ascii="Arial" w:hAnsi="Arial" w:cs="Arial"/>
          </w:rPr>
          <w:t>section six</w:t>
        </w:r>
      </w:hyperlink>
      <w:r w:rsidRPr="00EF4E0C">
        <w:t xml:space="preserve"> of this policy. </w:t>
      </w:r>
    </w:p>
    <w:p w14:paraId="46B7CECE" w14:textId="77777777" w:rsidR="006B21B0" w:rsidRPr="00EF4E0C" w:rsidRDefault="006B21B0" w:rsidP="006B21B0">
      <w:pPr>
        <w:pStyle w:val="TSB-Level1Numbers"/>
        <w:numPr>
          <w:ilvl w:val="1"/>
          <w:numId w:val="28"/>
        </w:numPr>
        <w:spacing w:before="120" w:after="120"/>
        <w:ind w:left="1480" w:hanging="482"/>
      </w:pPr>
      <w:r w:rsidRPr="00EF4E0C">
        <w:t xml:space="preserve">The </w:t>
      </w:r>
      <w:r w:rsidRPr="0083130F">
        <w:t>educational visits coordinator</w:t>
      </w:r>
      <w:r w:rsidRPr="00EF4E0C">
        <w:t xml:space="preserve"> will communicate with the venues of the school trips to ensure the correct group sizes are planned for each setting. </w:t>
      </w:r>
    </w:p>
    <w:p w14:paraId="148593A0" w14:textId="77777777" w:rsidR="006B21B0" w:rsidRPr="00EF4E0C" w:rsidRDefault="006B21B0" w:rsidP="006B21B0">
      <w:pPr>
        <w:pStyle w:val="TSB-Level1Numbers"/>
        <w:numPr>
          <w:ilvl w:val="1"/>
          <w:numId w:val="28"/>
        </w:numPr>
        <w:spacing w:before="120" w:after="120"/>
        <w:ind w:left="1480" w:hanging="482"/>
      </w:pPr>
      <w:r w:rsidRPr="00EF4E0C">
        <w:t xml:space="preserve">When travelling with a pupil with SEND, the </w:t>
      </w:r>
      <w:r w:rsidRPr="0083130F">
        <w:t>educational visits coordinator</w:t>
      </w:r>
      <w:r w:rsidRPr="00EF4E0C">
        <w:rPr>
          <w:b/>
          <w:color w:val="FFD006"/>
        </w:rPr>
        <w:t xml:space="preserve"> </w:t>
      </w:r>
      <w:r w:rsidRPr="00EF4E0C">
        <w:t xml:space="preserve">will ensure an adult is with them at all times and that the visit is adequately modified to suit the pupil’s needs in accordance with </w:t>
      </w:r>
      <w:hyperlink w:anchor="_Pupils_with_SEND" w:history="1">
        <w:r w:rsidRPr="009117CC">
          <w:rPr>
            <w:rStyle w:val="Hyperlink"/>
            <w:rFonts w:ascii="Arial" w:hAnsi="Arial" w:cs="Arial"/>
          </w:rPr>
          <w:t>section 1</w:t>
        </w:r>
        <w:r>
          <w:rPr>
            <w:rStyle w:val="Hyperlink"/>
            <w:rFonts w:ascii="Arial" w:hAnsi="Arial" w:cs="Arial"/>
          </w:rPr>
          <w:t>5</w:t>
        </w:r>
      </w:hyperlink>
      <w:r w:rsidRPr="00EF4E0C">
        <w:t xml:space="preserve"> of this policy. </w:t>
      </w:r>
    </w:p>
    <w:p w14:paraId="637D0BFB" w14:textId="77777777" w:rsidR="006B21B0" w:rsidRPr="00EF4E0C" w:rsidRDefault="006B21B0" w:rsidP="006B21B0">
      <w:pPr>
        <w:pStyle w:val="TSB-Level1Numbers"/>
        <w:numPr>
          <w:ilvl w:val="1"/>
          <w:numId w:val="28"/>
        </w:numPr>
        <w:spacing w:before="120" w:after="120"/>
        <w:ind w:left="1480" w:hanging="482"/>
      </w:pPr>
      <w:r>
        <w:t>Everyone</w:t>
      </w:r>
      <w:r w:rsidRPr="00EF4E0C">
        <w:t xml:space="preserve"> on the trip will be provided with a contact sheet for all members of staff, in the event they are unable to locate their group. </w:t>
      </w:r>
    </w:p>
    <w:p w14:paraId="4F41987D" w14:textId="501677FA" w:rsidR="006B21B0" w:rsidRPr="00EF4E0C" w:rsidRDefault="1F78999C" w:rsidP="006B21B0">
      <w:pPr>
        <w:pStyle w:val="TSB-Level1Numbers"/>
        <w:numPr>
          <w:ilvl w:val="1"/>
          <w:numId w:val="28"/>
        </w:numPr>
        <w:spacing w:before="120" w:after="120"/>
        <w:ind w:left="1480" w:hanging="482"/>
      </w:pPr>
      <w:r>
        <w:t xml:space="preserve">All staff members will be required to carry mobile phones with them at all times. If a pupil doesn’t own a mobile phone, they will be paired up with a pupil who has a mobile phone. </w:t>
      </w:r>
    </w:p>
    <w:p w14:paraId="2283DA5D" w14:textId="77777777" w:rsidR="006B21B0" w:rsidRPr="00EF4E0C" w:rsidRDefault="006B21B0" w:rsidP="006B21B0">
      <w:pPr>
        <w:pStyle w:val="TSB-Level1Numbers"/>
        <w:numPr>
          <w:ilvl w:val="1"/>
          <w:numId w:val="28"/>
        </w:numPr>
        <w:spacing w:before="120" w:after="120"/>
        <w:ind w:left="1480" w:hanging="482"/>
      </w:pPr>
      <w:r w:rsidRPr="00EF4E0C">
        <w:t>Upon arriving at every venue, the trip leader will identify a rendezvous point where pupils and adults should go if they become separated from the rest of the group.</w:t>
      </w:r>
    </w:p>
    <w:p w14:paraId="02BB56FE" w14:textId="77777777" w:rsidR="006B21B0" w:rsidRPr="00EF4E0C" w:rsidRDefault="006B21B0" w:rsidP="006B21B0">
      <w:pPr>
        <w:pStyle w:val="TSB-Level1Numbers"/>
        <w:numPr>
          <w:ilvl w:val="1"/>
          <w:numId w:val="28"/>
        </w:numPr>
        <w:spacing w:before="120" w:after="120"/>
        <w:ind w:left="1480" w:hanging="482"/>
      </w:pPr>
      <w:r w:rsidRPr="00EF4E0C">
        <w:t>Regular head counts of all pupils and staff will take place throughout the day to ensure all persons are present at all times.</w:t>
      </w:r>
    </w:p>
    <w:p w14:paraId="68051155" w14:textId="77777777" w:rsidR="006B21B0" w:rsidRDefault="006B21B0" w:rsidP="006B21B0">
      <w:pPr>
        <w:pStyle w:val="TSB-Level1Numbers"/>
        <w:numPr>
          <w:ilvl w:val="1"/>
          <w:numId w:val="28"/>
        </w:numPr>
        <w:spacing w:before="120" w:after="120"/>
        <w:ind w:left="1480" w:hanging="482"/>
      </w:pPr>
      <w:r w:rsidRPr="00EF4E0C">
        <w:lastRenderedPageBreak/>
        <w:t xml:space="preserve">In the event someone goes missing whilst on a school trip domestically or abroad: </w:t>
      </w:r>
    </w:p>
    <w:p w14:paraId="2576D987" w14:textId="77777777" w:rsidR="006B21B0" w:rsidRPr="00EE396D" w:rsidRDefault="006B21B0" w:rsidP="006B21B0">
      <w:pPr>
        <w:pStyle w:val="PolicyBullets"/>
        <w:spacing w:before="120" w:after="120"/>
        <w:contextualSpacing w:val="0"/>
        <w:jc w:val="both"/>
      </w:pPr>
      <w:r w:rsidRPr="00EE396D">
        <w:t xml:space="preserve">The trip leader will ensure the safety of the remaining pupils and staff by taking a register to identify who is missing. </w:t>
      </w:r>
    </w:p>
    <w:p w14:paraId="5B83CCE2" w14:textId="77777777" w:rsidR="006B21B0" w:rsidRPr="00EE396D" w:rsidRDefault="006B21B0" w:rsidP="006B21B0">
      <w:pPr>
        <w:pStyle w:val="PolicyBullets"/>
        <w:spacing w:before="120" w:after="120"/>
        <w:contextualSpacing w:val="0"/>
        <w:jc w:val="both"/>
        <w:rPr>
          <w:b/>
          <w:u w:val="single"/>
        </w:rPr>
      </w:pPr>
      <w:r w:rsidRPr="00EE396D">
        <w:t xml:space="preserve">The trip leader will immediately identify at least </w:t>
      </w:r>
      <w:r w:rsidRPr="0083130F">
        <w:t>one</w:t>
      </w:r>
      <w:r w:rsidRPr="00EE396D">
        <w:t xml:space="preserve"> adult to start looking for the person and another adult to contact them via phone, these people will look for the person until, where necessary, the police arrive. </w:t>
      </w:r>
    </w:p>
    <w:p w14:paraId="6A57E6D2" w14:textId="77777777" w:rsidR="006B21B0" w:rsidRPr="00EE396D" w:rsidRDefault="006B21B0" w:rsidP="006B21B0">
      <w:pPr>
        <w:pStyle w:val="PolicyBullets"/>
        <w:spacing w:before="120" w:after="120"/>
        <w:contextualSpacing w:val="0"/>
        <w:jc w:val="both"/>
        <w:rPr>
          <w:b/>
          <w:u w:val="single"/>
        </w:rPr>
      </w:pPr>
      <w:r w:rsidRPr="00EE396D">
        <w:t>Where possible, the venue will be notified of the missing person to help ensure the person is found quickly.</w:t>
      </w:r>
    </w:p>
    <w:p w14:paraId="493EF5A2" w14:textId="77777777" w:rsidR="006B21B0" w:rsidRPr="00EE396D" w:rsidRDefault="006B21B0" w:rsidP="006B21B0">
      <w:pPr>
        <w:pStyle w:val="PolicyBullets"/>
        <w:spacing w:before="120" w:after="120"/>
        <w:contextualSpacing w:val="0"/>
        <w:jc w:val="both"/>
        <w:rPr>
          <w:b/>
          <w:u w:val="single"/>
        </w:rPr>
      </w:pPr>
      <w:r w:rsidRPr="00EE396D">
        <w:t xml:space="preserve">If the person cannot be contacted or located within </w:t>
      </w:r>
      <w:r w:rsidRPr="0083130F">
        <w:t>10 minutes</w:t>
      </w:r>
      <w:r w:rsidRPr="00EE396D">
        <w:t xml:space="preserve">, the local police or relevant authorities, e.g. </w:t>
      </w:r>
      <w:r>
        <w:t xml:space="preserve">the </w:t>
      </w:r>
      <w:r w:rsidRPr="00EE396D">
        <w:t xml:space="preserve">British Embassy, </w:t>
      </w:r>
      <w:r>
        <w:t>will</w:t>
      </w:r>
      <w:r w:rsidRPr="00EE396D">
        <w:t xml:space="preserve"> be contacted.</w:t>
      </w:r>
    </w:p>
    <w:p w14:paraId="0F621E8C" w14:textId="77777777" w:rsidR="006B21B0" w:rsidRPr="00EF4E0C" w:rsidRDefault="006B21B0" w:rsidP="006B21B0">
      <w:pPr>
        <w:pStyle w:val="PolicyBullets"/>
        <w:spacing w:before="120" w:after="120"/>
        <w:contextualSpacing w:val="0"/>
        <w:jc w:val="both"/>
      </w:pPr>
      <w:r w:rsidRPr="00EE396D">
        <w:t xml:space="preserve">If the police are called, the trip leader </w:t>
      </w:r>
      <w:r>
        <w:t>will</w:t>
      </w:r>
      <w:r w:rsidRPr="00EE396D">
        <w:t xml:space="preserve"> contact the </w:t>
      </w:r>
      <w:r w:rsidRPr="0083130F">
        <w:t>headteacher</w:t>
      </w:r>
      <w:r w:rsidRPr="00EE396D">
        <w:t>, or other available person, back at the school and inform them of what has happened.</w:t>
      </w:r>
    </w:p>
    <w:p w14:paraId="423A9A68" w14:textId="77777777" w:rsidR="006B21B0" w:rsidRPr="00EF4E0C" w:rsidRDefault="006B21B0" w:rsidP="006B21B0">
      <w:pPr>
        <w:pStyle w:val="TSB-Level1Numbers"/>
        <w:numPr>
          <w:ilvl w:val="1"/>
          <w:numId w:val="28"/>
        </w:numPr>
        <w:spacing w:before="120" w:after="120"/>
        <w:ind w:left="1480" w:hanging="482"/>
      </w:pPr>
      <w:r w:rsidRPr="00EF4E0C">
        <w:t>If the police, or another authority, is called to an incident where someone is missing, they will oversee locating the person and will advise on factors including, but not limited to, when to contact next of kin.</w:t>
      </w:r>
    </w:p>
    <w:p w14:paraId="5D424E70" w14:textId="77777777" w:rsidR="006B21B0" w:rsidRDefault="006B21B0" w:rsidP="006B21B0">
      <w:pPr>
        <w:pStyle w:val="TSB-Level1Numbers"/>
        <w:numPr>
          <w:ilvl w:val="1"/>
          <w:numId w:val="28"/>
        </w:numPr>
        <w:spacing w:before="120" w:after="120"/>
        <w:ind w:left="1480" w:hanging="482"/>
      </w:pPr>
      <w:r w:rsidRPr="00EF4E0C">
        <w:t>If the missing person cannot be found, the group will return to school</w:t>
      </w:r>
      <w:r>
        <w:t>. I</w:t>
      </w:r>
      <w:r w:rsidRPr="00EF4E0C">
        <w:t xml:space="preserve">f this is not possible, e.g. when a trip is taking place abroad, the </w:t>
      </w:r>
      <w:r w:rsidRPr="0083130F">
        <w:rPr>
          <w:rFonts w:asciiTheme="minorHAnsi" w:hAnsiTheme="minorHAnsi" w:cstheme="minorBidi"/>
          <w:szCs w:val="22"/>
        </w:rPr>
        <w:t>educational visits coordinator will make arrangements to ensure the group</w:t>
      </w:r>
      <w:r w:rsidRPr="00EF4E0C">
        <w:t>’s safety, e.g. by changing venues or cancelling visits.</w:t>
      </w:r>
    </w:p>
    <w:p w14:paraId="53C8038A" w14:textId="77777777" w:rsidR="006B21B0" w:rsidRPr="00EF4E0C" w:rsidRDefault="006B21B0" w:rsidP="006B21B0">
      <w:pPr>
        <w:pStyle w:val="TSB-Level1Numbers"/>
        <w:numPr>
          <w:ilvl w:val="1"/>
          <w:numId w:val="28"/>
        </w:numPr>
        <w:spacing w:before="120" w:after="120"/>
        <w:ind w:left="1480" w:hanging="482"/>
      </w:pPr>
      <w:r w:rsidRPr="00EF4E0C">
        <w:t xml:space="preserve">If a member of the party has gone missing and is subsequently found, the trip leader will: </w:t>
      </w:r>
    </w:p>
    <w:p w14:paraId="3B3CB1B4" w14:textId="77777777" w:rsidR="006B21B0" w:rsidRPr="00FC7D87" w:rsidRDefault="006B21B0" w:rsidP="006B21B0">
      <w:pPr>
        <w:pStyle w:val="PolicyBullets"/>
        <w:spacing w:before="120" w:after="120"/>
        <w:contextualSpacing w:val="0"/>
        <w:jc w:val="both"/>
      </w:pPr>
      <w:r w:rsidRPr="00FC7D87">
        <w:t xml:space="preserve">Review the group sizes and staffing ratios to ensure no one becomes separated from their group. </w:t>
      </w:r>
    </w:p>
    <w:p w14:paraId="227A27CD" w14:textId="77777777" w:rsidR="006B21B0" w:rsidRPr="00FC7D87" w:rsidRDefault="006B21B0" w:rsidP="006B21B0">
      <w:pPr>
        <w:pStyle w:val="PolicyBullets"/>
        <w:spacing w:before="120" w:after="120"/>
        <w:contextualSpacing w:val="0"/>
        <w:jc w:val="both"/>
      </w:pPr>
      <w:r w:rsidRPr="00FC7D87">
        <w:t>Review whether more registers should be conducted throughout the day.</w:t>
      </w:r>
    </w:p>
    <w:p w14:paraId="43559C0B" w14:textId="77777777" w:rsidR="006B21B0" w:rsidRPr="00FC7D87" w:rsidRDefault="006B21B0" w:rsidP="006B21B0">
      <w:pPr>
        <w:pStyle w:val="PolicyBullets"/>
        <w:spacing w:before="120" w:after="120"/>
        <w:contextualSpacing w:val="0"/>
        <w:jc w:val="both"/>
      </w:pPr>
      <w:r w:rsidRPr="00FC7D87">
        <w:t>Assess which venues they attend to ensure they are suitable for the group.</w:t>
      </w:r>
    </w:p>
    <w:p w14:paraId="46503128" w14:textId="6DBC054E" w:rsidR="006B21B0" w:rsidRDefault="006B21B0" w:rsidP="006B21B0">
      <w:pPr>
        <w:pStyle w:val="PolicyBullets"/>
        <w:spacing w:before="120" w:after="120"/>
        <w:contextualSpacing w:val="0"/>
        <w:jc w:val="both"/>
      </w:pPr>
      <w:r w:rsidRPr="00FC7D87">
        <w:t>Make recommendations to the educational visits coordinator to ensure similar incidents can be avoided in the future.</w:t>
      </w:r>
    </w:p>
    <w:p w14:paraId="612465D0" w14:textId="27D0122A" w:rsidR="0083130F" w:rsidRDefault="0083130F" w:rsidP="0083130F">
      <w:pPr>
        <w:pStyle w:val="PolicyBullets"/>
        <w:numPr>
          <w:ilvl w:val="0"/>
          <w:numId w:val="0"/>
        </w:numPr>
        <w:spacing w:before="120" w:after="120"/>
        <w:ind w:left="1925" w:hanging="360"/>
        <w:contextualSpacing w:val="0"/>
        <w:jc w:val="both"/>
      </w:pPr>
    </w:p>
    <w:p w14:paraId="7455A009" w14:textId="77777777" w:rsidR="0083130F" w:rsidRPr="00FC7D87" w:rsidRDefault="0083130F" w:rsidP="0083130F">
      <w:pPr>
        <w:pStyle w:val="PolicyBullets"/>
        <w:numPr>
          <w:ilvl w:val="0"/>
          <w:numId w:val="0"/>
        </w:numPr>
        <w:spacing w:before="120" w:after="120"/>
        <w:ind w:left="1925" w:hanging="360"/>
        <w:contextualSpacing w:val="0"/>
        <w:jc w:val="both"/>
      </w:pPr>
    </w:p>
    <w:p w14:paraId="0D7A993C" w14:textId="77777777" w:rsidR="006B21B0" w:rsidRDefault="006B21B0" w:rsidP="006B21B0">
      <w:pPr>
        <w:pStyle w:val="Heading10"/>
        <w:numPr>
          <w:ilvl w:val="0"/>
          <w:numId w:val="28"/>
        </w:numPr>
        <w:spacing w:before="120" w:after="120"/>
        <w:ind w:left="357" w:hanging="357"/>
        <w:contextualSpacing w:val="0"/>
        <w:jc w:val="both"/>
      </w:pPr>
      <w:bookmarkStart w:id="27" w:name="_Pupils_with_SEND"/>
      <w:bookmarkEnd w:id="27"/>
      <w:r w:rsidRPr="00EE396D">
        <w:t>Pupils with SEND</w:t>
      </w:r>
    </w:p>
    <w:p w14:paraId="33555423" w14:textId="77777777" w:rsidR="006B21B0" w:rsidRPr="00EF4E0C" w:rsidRDefault="006B21B0" w:rsidP="006B21B0">
      <w:pPr>
        <w:pStyle w:val="TSB-Level1Numbers"/>
        <w:numPr>
          <w:ilvl w:val="1"/>
          <w:numId w:val="28"/>
        </w:numPr>
        <w:spacing w:before="120" w:after="120"/>
        <w:ind w:left="1480" w:hanging="482"/>
      </w:pPr>
      <w:r w:rsidRPr="00EF4E0C">
        <w:lastRenderedPageBreak/>
        <w:t>Where possible, activities and visits will be adapted to enable pupils with SEND to take part.</w:t>
      </w:r>
    </w:p>
    <w:p w14:paraId="6B89852D" w14:textId="77777777" w:rsidR="006B21B0" w:rsidRDefault="006B21B0" w:rsidP="006B21B0">
      <w:pPr>
        <w:pStyle w:val="TSB-Level1Numbers"/>
        <w:numPr>
          <w:ilvl w:val="1"/>
          <w:numId w:val="28"/>
        </w:numPr>
        <w:spacing w:before="120" w:after="120"/>
        <w:ind w:left="1480" w:hanging="482"/>
      </w:pPr>
      <w:r w:rsidRPr="00EF4E0C">
        <w:t xml:space="preserve">Where this is not possible, an alternative activity of equal educational value will be arranged for all pupils. </w:t>
      </w:r>
    </w:p>
    <w:p w14:paraId="15C6ED9C" w14:textId="4C62CCBB" w:rsidR="006B21B0" w:rsidRDefault="006B21B0" w:rsidP="006B21B0">
      <w:pPr>
        <w:pStyle w:val="TSB-Level1Numbers"/>
        <w:numPr>
          <w:ilvl w:val="1"/>
          <w:numId w:val="28"/>
        </w:numPr>
        <w:spacing w:before="120" w:after="120"/>
        <w:ind w:left="1480" w:hanging="482"/>
      </w:pPr>
      <w:r>
        <w:t xml:space="preserve">Pupils with SEND will be accompanied by a responsible adult during the extra-curricular trip or visit. </w:t>
      </w:r>
    </w:p>
    <w:p w14:paraId="0554F88E" w14:textId="13E95DC0" w:rsidR="0083130F" w:rsidRDefault="0083130F" w:rsidP="0083130F">
      <w:pPr>
        <w:pStyle w:val="TSB-Level1Numbers"/>
        <w:spacing w:before="120" w:after="120"/>
        <w:ind w:firstLine="0"/>
      </w:pPr>
    </w:p>
    <w:p w14:paraId="7ABE588D" w14:textId="73581633" w:rsidR="0083130F" w:rsidRDefault="0083130F" w:rsidP="0083130F">
      <w:pPr>
        <w:pStyle w:val="TSB-Level1Numbers"/>
        <w:spacing w:before="120" w:after="120"/>
        <w:ind w:firstLine="0"/>
      </w:pPr>
    </w:p>
    <w:p w14:paraId="1558A1D5" w14:textId="0445333C" w:rsidR="0083130F" w:rsidRDefault="0083130F" w:rsidP="0083130F">
      <w:pPr>
        <w:pStyle w:val="TSB-Level1Numbers"/>
        <w:spacing w:before="120" w:after="120"/>
        <w:ind w:firstLine="0"/>
      </w:pPr>
    </w:p>
    <w:p w14:paraId="6DCB49E1" w14:textId="77777777" w:rsidR="0083130F" w:rsidRDefault="0083130F" w:rsidP="0083130F">
      <w:pPr>
        <w:pStyle w:val="TSB-Level1Numbers"/>
        <w:spacing w:before="120" w:after="120"/>
        <w:ind w:firstLine="0"/>
      </w:pPr>
    </w:p>
    <w:p w14:paraId="0B9640A2" w14:textId="77777777" w:rsidR="006B21B0" w:rsidRPr="00EE396D" w:rsidRDefault="006B21B0" w:rsidP="006B21B0">
      <w:pPr>
        <w:pStyle w:val="Heading10"/>
        <w:numPr>
          <w:ilvl w:val="0"/>
          <w:numId w:val="28"/>
        </w:numPr>
        <w:spacing w:before="120" w:after="120"/>
        <w:ind w:left="357" w:hanging="357"/>
        <w:contextualSpacing w:val="0"/>
        <w:jc w:val="both"/>
      </w:pPr>
      <w:bookmarkStart w:id="28" w:name="_Finance"/>
      <w:bookmarkEnd w:id="28"/>
      <w:r w:rsidRPr="00EE396D">
        <w:t>Finance</w:t>
      </w:r>
    </w:p>
    <w:p w14:paraId="1E3A3ADB" w14:textId="77777777" w:rsidR="006B21B0" w:rsidRPr="00EF4E0C" w:rsidRDefault="006B21B0" w:rsidP="006B21B0">
      <w:pPr>
        <w:pStyle w:val="TSB-Level1Numbers"/>
        <w:numPr>
          <w:ilvl w:val="1"/>
          <w:numId w:val="28"/>
        </w:numPr>
        <w:spacing w:before="120" w:after="120"/>
        <w:ind w:left="1480" w:hanging="482"/>
      </w:pPr>
      <w:r w:rsidRPr="00EF4E0C">
        <w:t xml:space="preserve">The financial procedures outlined in the school’s </w:t>
      </w:r>
      <w:r w:rsidRPr="0083130F">
        <w:t xml:space="preserve">Charging and Remissions Policy </w:t>
      </w:r>
      <w:r w:rsidRPr="00EF4E0C">
        <w:t>will always be followed when arranging trips.</w:t>
      </w:r>
    </w:p>
    <w:p w14:paraId="3AF09948" w14:textId="77777777" w:rsidR="006B21B0" w:rsidRPr="00EF4E0C" w:rsidRDefault="006B21B0" w:rsidP="006B21B0">
      <w:pPr>
        <w:pStyle w:val="TSB-Level1Numbers"/>
        <w:numPr>
          <w:ilvl w:val="1"/>
          <w:numId w:val="28"/>
        </w:numPr>
        <w:spacing w:before="120" w:after="120"/>
        <w:ind w:left="1480" w:hanging="482"/>
      </w:pPr>
      <w:r w:rsidRPr="00EF4E0C">
        <w:t>The school will act in accordance with the DfE’s guidance document ‘Charging for school activities’ (201</w:t>
      </w:r>
      <w:r>
        <w:t>8</w:t>
      </w:r>
      <w:r w:rsidRPr="00EF4E0C">
        <w:t>) and, therefore, will only charge for trips which are classed as an ‘optional extra’. This is education provided outside of school time which is not:</w:t>
      </w:r>
    </w:p>
    <w:p w14:paraId="3B354210" w14:textId="77777777" w:rsidR="006B21B0" w:rsidRPr="00FC7D87" w:rsidRDefault="006B21B0" w:rsidP="006B21B0">
      <w:pPr>
        <w:pStyle w:val="PolicyBullets"/>
        <w:spacing w:before="120" w:after="120"/>
        <w:contextualSpacing w:val="0"/>
        <w:jc w:val="both"/>
      </w:pPr>
      <w:r w:rsidRPr="00FC7D87">
        <w:t xml:space="preserve">Part of the national curriculum. </w:t>
      </w:r>
    </w:p>
    <w:p w14:paraId="053430AA" w14:textId="77777777" w:rsidR="006B21B0" w:rsidRPr="00FC7D87" w:rsidRDefault="006B21B0" w:rsidP="006B21B0">
      <w:pPr>
        <w:pStyle w:val="PolicyBullets"/>
        <w:spacing w:before="120" w:after="120"/>
        <w:contextualSpacing w:val="0"/>
        <w:jc w:val="both"/>
      </w:pPr>
      <w:r w:rsidRPr="00FC7D87">
        <w:t xml:space="preserve">Part of a syllabus for an examination that the pupil is being prepared for at the school. </w:t>
      </w:r>
    </w:p>
    <w:p w14:paraId="3E3B9CDC" w14:textId="77777777" w:rsidR="006B21B0" w:rsidRPr="00FC7D87" w:rsidRDefault="006B21B0" w:rsidP="006B21B0">
      <w:pPr>
        <w:pStyle w:val="PolicyBullets"/>
        <w:spacing w:before="120" w:after="120"/>
        <w:contextualSpacing w:val="0"/>
        <w:jc w:val="both"/>
      </w:pPr>
      <w:r w:rsidRPr="00FC7D87">
        <w:t xml:space="preserve">Part of religious education.    </w:t>
      </w:r>
    </w:p>
    <w:p w14:paraId="0FFD791E" w14:textId="77777777" w:rsidR="006B21B0" w:rsidRPr="00EF4E0C" w:rsidRDefault="006B21B0" w:rsidP="006B21B0">
      <w:pPr>
        <w:pStyle w:val="TSB-Level1Numbers"/>
        <w:numPr>
          <w:ilvl w:val="1"/>
          <w:numId w:val="28"/>
        </w:numPr>
        <w:spacing w:before="120" w:after="120"/>
        <w:ind w:left="1480" w:hanging="482"/>
      </w:pPr>
      <w:r w:rsidRPr="00EF4E0C">
        <w:t>Money for school trips will always be paid directly to the school. Under no circumstances should school trip money be processed through personal accounts.</w:t>
      </w:r>
    </w:p>
    <w:p w14:paraId="0A1C3B89" w14:textId="77777777" w:rsidR="006B21B0" w:rsidRPr="00EF4E0C" w:rsidRDefault="006B21B0" w:rsidP="006B21B0">
      <w:pPr>
        <w:pStyle w:val="TSB-Level1Numbers"/>
        <w:numPr>
          <w:ilvl w:val="1"/>
          <w:numId w:val="28"/>
        </w:numPr>
        <w:spacing w:before="120" w:after="120"/>
        <w:ind w:left="1480" w:hanging="482"/>
      </w:pPr>
      <w:r w:rsidRPr="00EF4E0C">
        <w:t xml:space="preserve">All letters to parents regarding school trips will include a clause explaining what will happen in the event that the trip is cancelled or a pupil cancels their place on the trip.  </w:t>
      </w:r>
    </w:p>
    <w:p w14:paraId="78249CC1" w14:textId="5FB00639" w:rsidR="006B21B0" w:rsidRPr="00EF4E0C" w:rsidRDefault="006B21B0" w:rsidP="006B21B0">
      <w:pPr>
        <w:pStyle w:val="TSB-Level1Numbers"/>
        <w:numPr>
          <w:ilvl w:val="1"/>
          <w:numId w:val="28"/>
        </w:numPr>
        <w:spacing w:before="120" w:after="120"/>
        <w:ind w:left="1480" w:hanging="482"/>
      </w:pPr>
      <w:r w:rsidRPr="00EF4E0C">
        <w:t xml:space="preserve">In the event that the trip is cancelled due to unforeseeable circumstances, it is at the </w:t>
      </w:r>
      <w:r w:rsidRPr="0083130F">
        <w:t>headteacher’s</w:t>
      </w:r>
      <w:r w:rsidRPr="00EF4E0C">
        <w:t xml:space="preserve"> discretion as to whether a refund is given to parents. The </w:t>
      </w:r>
      <w:r w:rsidRPr="0083130F">
        <w:t>headteacher</w:t>
      </w:r>
      <w:r w:rsidRPr="00EF4E0C">
        <w:t xml:space="preserve"> will consult the </w:t>
      </w:r>
      <w:r w:rsidR="0083130F">
        <w:t>Management Committee</w:t>
      </w:r>
      <w:r w:rsidRPr="0083130F">
        <w:t xml:space="preserve"> </w:t>
      </w:r>
      <w:r w:rsidRPr="00EF4E0C">
        <w:t xml:space="preserve">on the matter, taking into account the cost to the school, including alternative provision costs. </w:t>
      </w:r>
    </w:p>
    <w:p w14:paraId="2F9E9BD7" w14:textId="0112B3C3" w:rsidR="006B21B0" w:rsidRPr="00EF4E0C" w:rsidRDefault="006B21B0" w:rsidP="006B21B0">
      <w:pPr>
        <w:pStyle w:val="TSB-Level1Numbers"/>
        <w:numPr>
          <w:ilvl w:val="1"/>
          <w:numId w:val="28"/>
        </w:numPr>
        <w:spacing w:before="120" w:after="120"/>
        <w:ind w:left="1480" w:hanging="482"/>
      </w:pPr>
      <w:r w:rsidRPr="00EF4E0C">
        <w:t xml:space="preserve">In the event that a pupil cancels their place on a trip, it is at the </w:t>
      </w:r>
      <w:r w:rsidRPr="00F459DD">
        <w:t>headteacher’s</w:t>
      </w:r>
      <w:r w:rsidRPr="00EF4E0C">
        <w:t xml:space="preserve"> discretion as to whether a refund is given to parents. The </w:t>
      </w:r>
      <w:r w:rsidRPr="00F459DD">
        <w:t>headteacher</w:t>
      </w:r>
      <w:r w:rsidRPr="00EF4E0C">
        <w:t xml:space="preserve"> will consult the </w:t>
      </w:r>
      <w:r w:rsidR="00F459DD">
        <w:t>Management Committee</w:t>
      </w:r>
      <w:r w:rsidRPr="00EF4E0C">
        <w:t xml:space="preserve"> on the matter, taking into account the pupil’s reasons for cancelling their place, whether the school will be reimbursed for the pupil’s place on </w:t>
      </w:r>
      <w:r w:rsidRPr="00EF4E0C">
        <w:lastRenderedPageBreak/>
        <w:t>the trip, and whether the space on the trip can be offered to someone else.</w:t>
      </w:r>
    </w:p>
    <w:p w14:paraId="72CD472B" w14:textId="77777777" w:rsidR="006B21B0" w:rsidRPr="00EF4E0C" w:rsidRDefault="006B21B0" w:rsidP="006B21B0">
      <w:pPr>
        <w:pStyle w:val="TSB-Level1Numbers"/>
        <w:numPr>
          <w:ilvl w:val="1"/>
          <w:numId w:val="28"/>
        </w:numPr>
        <w:spacing w:before="120" w:after="120"/>
        <w:ind w:left="1480" w:hanging="482"/>
      </w:pPr>
      <w:r w:rsidRPr="00EF4E0C">
        <w:t>Where a pupil has previously cancelled a space on a school trip and received a full refund, the school has the right to refuse to a</w:t>
      </w:r>
      <w:r>
        <w:t xml:space="preserve">llow </w:t>
      </w:r>
      <w:r w:rsidRPr="00EF4E0C">
        <w:t xml:space="preserve">the pupil to attend future trips and visits. </w:t>
      </w:r>
    </w:p>
    <w:p w14:paraId="48302213" w14:textId="77777777" w:rsidR="006B21B0" w:rsidRPr="00EF4E0C" w:rsidRDefault="006B21B0" w:rsidP="006B21B0">
      <w:pPr>
        <w:pStyle w:val="TSB-Level1Numbers"/>
        <w:numPr>
          <w:ilvl w:val="1"/>
          <w:numId w:val="28"/>
        </w:numPr>
        <w:spacing w:before="120" w:after="120"/>
        <w:ind w:left="1480" w:hanging="482"/>
      </w:pPr>
      <w:r w:rsidRPr="00941FDE">
        <w:rPr>
          <w:color w:val="000000" w:themeColor="text1"/>
        </w:rPr>
        <w:t xml:space="preserve">The school </w:t>
      </w:r>
      <w:r w:rsidRPr="00EF4E0C">
        <w:t xml:space="preserve">will take a common-sense approach to refunds and cancellations, ensuring that all pupils are treated equally.  </w:t>
      </w:r>
    </w:p>
    <w:p w14:paraId="79980AA4" w14:textId="77777777" w:rsidR="006B21B0" w:rsidRPr="00EF4E0C" w:rsidRDefault="006B21B0" w:rsidP="006B21B0">
      <w:pPr>
        <w:pStyle w:val="TSB-Level1Numbers"/>
        <w:numPr>
          <w:ilvl w:val="1"/>
          <w:numId w:val="28"/>
        </w:numPr>
        <w:spacing w:before="120" w:after="120"/>
        <w:ind w:left="1480" w:hanging="482"/>
      </w:pPr>
      <w:r w:rsidRPr="00EF4E0C">
        <w:t xml:space="preserve">Any charge made in respect of pupils will not exceed the actual cost of providing the trip divided equally by the number of pupils participating. </w:t>
      </w:r>
    </w:p>
    <w:p w14:paraId="58DD2A51" w14:textId="77777777" w:rsidR="006B21B0" w:rsidRPr="00EF4E0C" w:rsidRDefault="006B21B0" w:rsidP="006B21B0">
      <w:pPr>
        <w:pStyle w:val="TSB-Level1Numbers"/>
        <w:numPr>
          <w:ilvl w:val="1"/>
          <w:numId w:val="28"/>
        </w:numPr>
        <w:spacing w:before="120" w:after="120"/>
        <w:ind w:left="1480" w:hanging="482"/>
      </w:pPr>
      <w:r w:rsidRPr="00EF4E0C">
        <w:t>Once trip arrangements are booked and confirmed, if contributions to a trip exceed the total cost of the trip, a refund will be given where the excess is greater than £</w:t>
      </w:r>
      <w:r w:rsidRPr="00F459DD">
        <w:t>1</w:t>
      </w:r>
      <w:r w:rsidRPr="00EF4E0C">
        <w:t xml:space="preserve"> per pupil. </w:t>
      </w:r>
    </w:p>
    <w:p w14:paraId="37AD3F44" w14:textId="7D8276E7" w:rsidR="006B21B0" w:rsidRDefault="006B21B0" w:rsidP="006B21B0">
      <w:pPr>
        <w:pStyle w:val="TSB-Level1Numbers"/>
        <w:numPr>
          <w:ilvl w:val="1"/>
          <w:numId w:val="28"/>
        </w:numPr>
        <w:spacing w:before="120" w:after="120"/>
        <w:ind w:left="1480" w:hanging="482"/>
      </w:pPr>
      <w:r w:rsidRPr="00EF4E0C">
        <w:t xml:space="preserve">Any excess of expenditure will be subsidised by the school fund. </w:t>
      </w:r>
    </w:p>
    <w:p w14:paraId="111879BA" w14:textId="73028725" w:rsidR="00F459DD" w:rsidRDefault="00F459DD" w:rsidP="00F459DD">
      <w:pPr>
        <w:pStyle w:val="TSB-Level1Numbers"/>
        <w:spacing w:before="120" w:after="120"/>
        <w:ind w:firstLine="0"/>
      </w:pPr>
    </w:p>
    <w:p w14:paraId="43078795" w14:textId="77777777" w:rsidR="00F459DD" w:rsidRDefault="00F459DD" w:rsidP="00F459DD">
      <w:pPr>
        <w:pStyle w:val="TSB-Level1Numbers"/>
        <w:spacing w:before="120" w:after="120"/>
        <w:ind w:firstLine="0"/>
      </w:pPr>
    </w:p>
    <w:p w14:paraId="0C60E561" w14:textId="77777777" w:rsidR="006B21B0" w:rsidRDefault="006B21B0" w:rsidP="006B21B0">
      <w:pPr>
        <w:pStyle w:val="Heading10"/>
        <w:numPr>
          <w:ilvl w:val="0"/>
          <w:numId w:val="28"/>
        </w:numPr>
        <w:spacing w:before="120" w:after="120"/>
        <w:ind w:left="357" w:hanging="357"/>
        <w:contextualSpacing w:val="0"/>
        <w:jc w:val="both"/>
      </w:pPr>
      <w:bookmarkStart w:id="29" w:name="_Foreign_trips"/>
      <w:bookmarkEnd w:id="29"/>
      <w:r w:rsidRPr="00585997">
        <w:t>Foreign trips</w:t>
      </w:r>
    </w:p>
    <w:p w14:paraId="7C4C6D43" w14:textId="12E943C3" w:rsidR="006B21B0" w:rsidRDefault="006B21B0" w:rsidP="006B21B0">
      <w:pPr>
        <w:pStyle w:val="TSB-Level1Numbers"/>
        <w:numPr>
          <w:ilvl w:val="1"/>
          <w:numId w:val="28"/>
        </w:numPr>
        <w:spacing w:before="120" w:after="120"/>
        <w:ind w:left="1480" w:hanging="482"/>
      </w:pPr>
      <w:r>
        <w:t>When planning school trips abroad, the school will consider the Foreign and Commonwealth Office’s guidance ‘Safer adventure travel and volunteering overseas’ (2015) and, where an activity poses significant risks, the school will also consult the British Standard for adventurous activities outside the UK.</w:t>
      </w:r>
    </w:p>
    <w:p w14:paraId="1B0897EE" w14:textId="77777777" w:rsidR="006B21B0" w:rsidRPr="00EF4E0C" w:rsidRDefault="006B21B0" w:rsidP="006B21B0">
      <w:pPr>
        <w:pStyle w:val="TSB-Level1Numbers"/>
        <w:numPr>
          <w:ilvl w:val="1"/>
          <w:numId w:val="28"/>
        </w:numPr>
        <w:spacing w:before="120" w:after="120"/>
        <w:ind w:left="1480" w:hanging="482"/>
      </w:pPr>
      <w:r w:rsidRPr="00EF4E0C">
        <w:t xml:space="preserve">Validity of passports and visa requirements will be dealt with within </w:t>
      </w:r>
      <w:r w:rsidRPr="00F459DD">
        <w:t xml:space="preserve">three months </w:t>
      </w:r>
      <w:r w:rsidRPr="00EF4E0C">
        <w:t>of the initial notification of the trip, to avoid problems when the trip is due to take place.</w:t>
      </w:r>
    </w:p>
    <w:p w14:paraId="33B95137" w14:textId="77777777" w:rsidR="006B21B0" w:rsidRPr="00EF4E0C" w:rsidRDefault="006B21B0" w:rsidP="006B21B0">
      <w:pPr>
        <w:pStyle w:val="TSB-Level1Numbers"/>
        <w:numPr>
          <w:ilvl w:val="1"/>
          <w:numId w:val="28"/>
        </w:numPr>
        <w:spacing w:before="120" w:after="120"/>
        <w:ind w:left="1480" w:hanging="482"/>
      </w:pPr>
      <w:r w:rsidRPr="00EF4E0C">
        <w:t>Staff and pupils will be taught about the culture and values of the country they are visiting, to ensure they understand and respect the values of the citizens.</w:t>
      </w:r>
    </w:p>
    <w:p w14:paraId="676D76F5" w14:textId="77777777" w:rsidR="006B21B0" w:rsidRPr="00EF4E0C" w:rsidRDefault="006B21B0" w:rsidP="006B21B0">
      <w:pPr>
        <w:pStyle w:val="TSB-Level1Numbers"/>
        <w:numPr>
          <w:ilvl w:val="1"/>
          <w:numId w:val="28"/>
        </w:numPr>
        <w:spacing w:before="120" w:after="120"/>
        <w:ind w:left="1480" w:hanging="482"/>
      </w:pPr>
      <w:r w:rsidRPr="00EF4E0C">
        <w:t>Before the trip, staff are trained in spotting suspicious behaviour and remaining vigilant whilst abroad.</w:t>
      </w:r>
    </w:p>
    <w:p w14:paraId="6D7975E2" w14:textId="77777777" w:rsidR="006B21B0" w:rsidRPr="00EF4E0C" w:rsidRDefault="006B21B0" w:rsidP="006B21B0">
      <w:pPr>
        <w:pStyle w:val="TSB-Level1Numbers"/>
        <w:numPr>
          <w:ilvl w:val="1"/>
          <w:numId w:val="28"/>
        </w:numPr>
        <w:spacing w:before="120" w:after="120"/>
        <w:ind w:left="1480" w:hanging="482"/>
      </w:pPr>
      <w:r w:rsidRPr="00EF4E0C">
        <w:t>Before the trip, pupils will be taught how to remain vigilant in the country they are visiting, particularly about advances from strangers.</w:t>
      </w:r>
    </w:p>
    <w:p w14:paraId="67AC59FB" w14:textId="77777777" w:rsidR="006B21B0" w:rsidRPr="00EF4E0C" w:rsidRDefault="006B21B0" w:rsidP="006B21B0">
      <w:pPr>
        <w:pStyle w:val="TSB-Level1Numbers"/>
        <w:numPr>
          <w:ilvl w:val="1"/>
          <w:numId w:val="28"/>
        </w:numPr>
        <w:spacing w:before="120" w:after="120"/>
        <w:ind w:left="1480" w:hanging="482"/>
      </w:pPr>
      <w:r w:rsidRPr="00EF4E0C">
        <w:t>Registers will be taken at the start and end of each day, as well as before, during, and after events</w:t>
      </w:r>
      <w:r>
        <w:t>,</w:t>
      </w:r>
      <w:r w:rsidRPr="00EF4E0C">
        <w:t xml:space="preserve"> and at regular intervals whilst on days out to ensure the whereabouts of pupils are known at all times.</w:t>
      </w:r>
    </w:p>
    <w:p w14:paraId="5A04EE30" w14:textId="77777777" w:rsidR="006B21B0" w:rsidRPr="00EF4E0C" w:rsidRDefault="006B21B0" w:rsidP="006B21B0">
      <w:pPr>
        <w:pStyle w:val="TSB-Level1Numbers"/>
        <w:numPr>
          <w:ilvl w:val="1"/>
          <w:numId w:val="28"/>
        </w:numPr>
        <w:spacing w:before="120" w:after="120"/>
        <w:ind w:left="1480" w:hanging="482"/>
      </w:pPr>
      <w:r w:rsidRPr="00EF4E0C">
        <w:t xml:space="preserve">Staff will check the town/city’s local news at the start of each day of the trip, to ensure their planned activities are safe to go ahead. </w:t>
      </w:r>
    </w:p>
    <w:p w14:paraId="0A3298E2" w14:textId="77777777" w:rsidR="006B21B0" w:rsidRPr="00EF4E0C" w:rsidRDefault="006B21B0" w:rsidP="006B21B0">
      <w:pPr>
        <w:pStyle w:val="TSB-Level1Numbers"/>
        <w:numPr>
          <w:ilvl w:val="1"/>
          <w:numId w:val="28"/>
        </w:numPr>
        <w:spacing w:before="120" w:after="120"/>
        <w:ind w:left="1480" w:hanging="482"/>
      </w:pPr>
      <w:r w:rsidRPr="00EF4E0C">
        <w:lastRenderedPageBreak/>
        <w:t xml:space="preserve">A minimum of </w:t>
      </w:r>
      <w:r w:rsidRPr="00F459DD">
        <w:t>two</w:t>
      </w:r>
      <w:r w:rsidRPr="00EF4E0C">
        <w:t xml:space="preserve"> members of staff attending the trip will have at least an intermediate understanding of the destination country’s language.</w:t>
      </w:r>
    </w:p>
    <w:p w14:paraId="521FC9BA" w14:textId="77777777" w:rsidR="006B21B0" w:rsidRDefault="006B21B0" w:rsidP="006B21B0">
      <w:pPr>
        <w:pStyle w:val="TSB-Level1Numbers"/>
        <w:numPr>
          <w:ilvl w:val="1"/>
          <w:numId w:val="28"/>
        </w:numPr>
        <w:spacing w:before="120" w:after="120"/>
        <w:ind w:left="1480" w:hanging="482"/>
      </w:pPr>
      <w:bookmarkStart w:id="30" w:name="pt13"/>
      <w:bookmarkEnd w:id="30"/>
      <w:r w:rsidRPr="00EF4E0C">
        <w:t>At the start of the trip, all pupils and staff are provided with an emergency contact sheet, this includes the trip leader’s mobile phone number, as well as emergency numbers and phrases for the country they are visiting.</w:t>
      </w:r>
      <w:bookmarkStart w:id="31" w:name="_Planning_school_trips"/>
      <w:bookmarkEnd w:id="31"/>
    </w:p>
    <w:p w14:paraId="288AC42E" w14:textId="0F317521" w:rsidR="006B21B0" w:rsidRDefault="006B21B0" w:rsidP="006B21B0">
      <w:pPr>
        <w:pStyle w:val="TSB-Level1Numbers"/>
        <w:numPr>
          <w:ilvl w:val="1"/>
          <w:numId w:val="28"/>
        </w:numPr>
        <w:spacing w:before="120" w:after="120"/>
        <w:ind w:left="1480" w:hanging="482"/>
      </w:pPr>
      <w:r>
        <w:t xml:space="preserve">When using external providers abroad, the school will check whether the provider holds an equivalent of the ‘Learning Outside the Classroom Quality Badge'. If no such equivalent can be ascertained, the school will make checks in the same manner as </w:t>
      </w:r>
      <w:hyperlink w:anchor="sevenpointtwo" w:history="1">
        <w:r w:rsidRPr="00185778">
          <w:rPr>
            <w:rStyle w:val="Hyperlink"/>
          </w:rPr>
          <w:t>paragraph 7.2</w:t>
        </w:r>
      </w:hyperlink>
      <w:r>
        <w:t xml:space="preserve"> prior to agreeing to use the provider.</w:t>
      </w:r>
    </w:p>
    <w:p w14:paraId="6E94E9DB" w14:textId="77672EDA" w:rsidR="006B21B0" w:rsidRDefault="006B21B0" w:rsidP="006B21B0">
      <w:pPr>
        <w:pStyle w:val="Heading10"/>
        <w:numPr>
          <w:ilvl w:val="0"/>
          <w:numId w:val="28"/>
        </w:numPr>
        <w:spacing w:before="120" w:after="120"/>
        <w:ind w:left="357" w:hanging="357"/>
        <w:contextualSpacing w:val="0"/>
        <w:jc w:val="both"/>
      </w:pPr>
      <w:bookmarkStart w:id="32" w:name="_Monitoring_and_review"/>
      <w:bookmarkStart w:id="33" w:name="_[New]_Evaluating_trips"/>
      <w:bookmarkEnd w:id="32"/>
      <w:bookmarkEnd w:id="33"/>
      <w:r>
        <w:t>Evaluating trips and visits</w:t>
      </w:r>
    </w:p>
    <w:p w14:paraId="61DC6BE5" w14:textId="77777777" w:rsidR="006B21B0" w:rsidRDefault="006B21B0" w:rsidP="006B21B0">
      <w:pPr>
        <w:pStyle w:val="TSB-Level1Numbers"/>
        <w:numPr>
          <w:ilvl w:val="1"/>
          <w:numId w:val="28"/>
        </w:numPr>
        <w:spacing w:before="120" w:after="120"/>
        <w:ind w:left="1480" w:hanging="482"/>
      </w:pPr>
      <w:r>
        <w:t xml:space="preserve">Following an educational trip/visit, the </w:t>
      </w:r>
      <w:r w:rsidRPr="00F459DD">
        <w:t>educational visit coordinator</w:t>
      </w:r>
      <w:r w:rsidRPr="00846335">
        <w:rPr>
          <w:color w:val="FFD006"/>
        </w:rPr>
        <w:t xml:space="preserve"> </w:t>
      </w:r>
      <w:r>
        <w:t>will meet with any staff members present on the trip to assess the success of the trip in respect of both educational value and safeguarding effectiveness.</w:t>
      </w:r>
    </w:p>
    <w:p w14:paraId="60241B6A" w14:textId="77777777" w:rsidR="006B21B0" w:rsidRPr="00DD33C7" w:rsidRDefault="006B21B0" w:rsidP="006B21B0">
      <w:pPr>
        <w:pStyle w:val="TSB-Level1Numbers"/>
        <w:numPr>
          <w:ilvl w:val="1"/>
          <w:numId w:val="28"/>
        </w:numPr>
        <w:spacing w:before="120" w:after="120"/>
        <w:ind w:left="1480" w:hanging="482"/>
      </w:pPr>
      <w:r>
        <w:t>Based on this assessment, recommendations will be made to improve future trips and visits.</w:t>
      </w:r>
    </w:p>
    <w:p w14:paraId="643C8893" w14:textId="77777777" w:rsidR="006B21B0" w:rsidRPr="00FC7D87" w:rsidRDefault="006B21B0" w:rsidP="006B21B0">
      <w:pPr>
        <w:pStyle w:val="Heading10"/>
        <w:numPr>
          <w:ilvl w:val="0"/>
          <w:numId w:val="28"/>
        </w:numPr>
        <w:spacing w:before="120" w:after="120"/>
        <w:ind w:left="357" w:hanging="357"/>
        <w:contextualSpacing w:val="0"/>
        <w:jc w:val="both"/>
      </w:pPr>
      <w:bookmarkStart w:id="34" w:name="_Monitoring_and_review_1"/>
      <w:bookmarkEnd w:id="34"/>
      <w:r w:rsidRPr="00FC7D87">
        <w:t>Monitoring and review</w:t>
      </w:r>
    </w:p>
    <w:p w14:paraId="01504BCB" w14:textId="77777777" w:rsidR="006B21B0" w:rsidRPr="00EF4E0C" w:rsidRDefault="006B21B0" w:rsidP="006B21B0">
      <w:pPr>
        <w:pStyle w:val="TSB-Level1Numbers"/>
        <w:numPr>
          <w:ilvl w:val="1"/>
          <w:numId w:val="28"/>
        </w:numPr>
        <w:spacing w:before="120" w:after="120"/>
        <w:ind w:left="1480" w:hanging="482"/>
      </w:pPr>
      <w:r w:rsidRPr="00EF4E0C">
        <w:t xml:space="preserve">The effectiveness of this policy will be monitored by the </w:t>
      </w:r>
      <w:r w:rsidRPr="00F459DD">
        <w:t>headteacher</w:t>
      </w:r>
      <w:r w:rsidRPr="00EF4E0C">
        <w:t xml:space="preserve">. </w:t>
      </w:r>
    </w:p>
    <w:p w14:paraId="00785CCD" w14:textId="387311CC" w:rsidR="006B21B0" w:rsidRPr="00EF4E0C" w:rsidRDefault="006B21B0" w:rsidP="006B21B0">
      <w:pPr>
        <w:pStyle w:val="TSB-Level1Numbers"/>
        <w:numPr>
          <w:ilvl w:val="1"/>
          <w:numId w:val="28"/>
        </w:numPr>
        <w:spacing w:before="120" w:after="120"/>
        <w:ind w:left="1480" w:hanging="482"/>
      </w:pPr>
      <w:r w:rsidRPr="00EF4E0C">
        <w:t xml:space="preserve">The </w:t>
      </w:r>
      <w:r w:rsidR="00F459DD">
        <w:t>Management Committee</w:t>
      </w:r>
      <w:r w:rsidRPr="00F459DD">
        <w:t xml:space="preserve"> </w:t>
      </w:r>
      <w:r w:rsidRPr="00EF4E0C">
        <w:t xml:space="preserve">will review this policy </w:t>
      </w:r>
      <w:r w:rsidRPr="00F459DD">
        <w:t>annually</w:t>
      </w:r>
      <w:r w:rsidRPr="00EF4E0C">
        <w:t xml:space="preserve">. </w:t>
      </w:r>
    </w:p>
    <w:p w14:paraId="248CE4D7" w14:textId="3392570C" w:rsidR="006B21B0" w:rsidRPr="00FC7D87" w:rsidRDefault="006B21B0" w:rsidP="006B21B0">
      <w:pPr>
        <w:pStyle w:val="TSB-Level1Numbers"/>
        <w:numPr>
          <w:ilvl w:val="1"/>
          <w:numId w:val="28"/>
        </w:numPr>
        <w:spacing w:before="120" w:after="120"/>
        <w:ind w:left="1480" w:hanging="482"/>
      </w:pPr>
      <w:r w:rsidRPr="00EF4E0C">
        <w:t xml:space="preserve">The scheduled review date for this policy is </w:t>
      </w:r>
      <w:r w:rsidR="00F459DD">
        <w:t>December 2020</w:t>
      </w:r>
      <w:r w:rsidRPr="00F459DD">
        <w:t>.</w:t>
      </w:r>
    </w:p>
    <w:p w14:paraId="2F86A5B8" w14:textId="77777777" w:rsidR="00AD4155" w:rsidRPr="00F165AD" w:rsidRDefault="00AD4155" w:rsidP="00022F89">
      <w:pPr>
        <w:spacing w:line="320" w:lineRule="exact"/>
        <w:rPr>
          <w:rFonts w:ascii="Arial" w:hAnsi="Arial" w:cs="Arial"/>
        </w:rPr>
      </w:pPr>
    </w:p>
    <w:sectPr w:rsidR="00AD4155" w:rsidRPr="00F165AD" w:rsidSect="00F77987">
      <w:headerReference w:type="default" r:id="rId11"/>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FB7DB" w14:textId="77777777" w:rsidR="003A1A85" w:rsidRDefault="003A1A85" w:rsidP="00AD4155">
      <w:pPr>
        <w:spacing w:after="0" w:line="240" w:lineRule="auto"/>
      </w:pPr>
      <w:r>
        <w:separator/>
      </w:r>
    </w:p>
  </w:endnote>
  <w:endnote w:type="continuationSeparator" w:id="0">
    <w:p w14:paraId="6A09E573" w14:textId="77777777" w:rsidR="003A1A85" w:rsidRDefault="003A1A85"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646953"/>
      <w:docPartObj>
        <w:docPartGallery w:val="Page Numbers (Bottom of Page)"/>
        <w:docPartUnique/>
      </w:docPartObj>
    </w:sdtPr>
    <w:sdtEndPr>
      <w:rPr>
        <w:noProof/>
      </w:rPr>
    </w:sdtEndPr>
    <w:sdtContent>
      <w:p w14:paraId="30048A0E" w14:textId="1A2C7240" w:rsidR="00227E6E" w:rsidRDefault="00227E6E">
        <w:pPr>
          <w:pStyle w:val="Footer"/>
          <w:jc w:val="center"/>
        </w:pPr>
        <w:r>
          <w:fldChar w:fldCharType="begin"/>
        </w:r>
        <w:r>
          <w:instrText xml:space="preserve"> PAGE   \* MERGEFORMAT </w:instrText>
        </w:r>
        <w:r>
          <w:fldChar w:fldCharType="separate"/>
        </w:r>
        <w:r w:rsidR="004305F8">
          <w:rPr>
            <w:noProof/>
          </w:rPr>
          <w:t>2</w:t>
        </w:r>
        <w:r>
          <w:rPr>
            <w:noProof/>
          </w:rPr>
          <w:fldChar w:fldCharType="end"/>
        </w:r>
      </w:p>
    </w:sdtContent>
  </w:sdt>
  <w:p w14:paraId="4C9D828D" w14:textId="77777777" w:rsidR="00227E6E" w:rsidRDefault="00227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DEE7F" w14:textId="3DEFB521" w:rsidR="00E84573" w:rsidRDefault="00E84573" w:rsidP="00227E6E">
    <w:pPr>
      <w:pStyle w:val="Foo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27E6E">
      <w:rPr>
        <w:caps/>
        <w:noProof/>
        <w:color w:val="4F81BD" w:themeColor="accent1"/>
      </w:rPr>
      <w:t>0</w:t>
    </w:r>
    <w:r>
      <w:rPr>
        <w:caps/>
        <w:noProof/>
        <w:color w:val="4F81BD" w:themeColor="accent1"/>
      </w:rPr>
      <w:fldChar w:fldCharType="end"/>
    </w:r>
  </w:p>
  <w:p w14:paraId="3C84E765" w14:textId="77777777" w:rsidR="00E84573" w:rsidRDefault="00E84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13568" w14:textId="77777777" w:rsidR="003A1A85" w:rsidRDefault="003A1A85" w:rsidP="00AD4155">
      <w:pPr>
        <w:spacing w:after="0" w:line="240" w:lineRule="auto"/>
      </w:pPr>
      <w:r>
        <w:separator/>
      </w:r>
    </w:p>
  </w:footnote>
  <w:footnote w:type="continuationSeparator" w:id="0">
    <w:p w14:paraId="79EE3622" w14:textId="77777777" w:rsidR="003A1A85" w:rsidRDefault="003A1A85"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40A35" w14:textId="77777777" w:rsidR="003A1A85" w:rsidRPr="00827A27" w:rsidRDefault="003A1A85" w:rsidP="00827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14B34B37"/>
    <w:multiLevelType w:val="hybridMultilevel"/>
    <w:tmpl w:val="8B20E34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18E9466E"/>
    <w:multiLevelType w:val="hybridMultilevel"/>
    <w:tmpl w:val="34E22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87160D"/>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985763"/>
    <w:multiLevelType w:val="hybridMultilevel"/>
    <w:tmpl w:val="6A8C14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39983A11"/>
    <w:multiLevelType w:val="multilevel"/>
    <w:tmpl w:val="1FD0E116"/>
    <w:lvl w:ilvl="0">
      <w:start w:val="1"/>
      <w:numFmt w:val="decimal"/>
      <w:lvlText w:val="%1."/>
      <w:lvlJc w:val="left"/>
      <w:pPr>
        <w:tabs>
          <w:tab w:val="num" w:pos="709"/>
        </w:tabs>
        <w:ind w:left="709" w:hanging="709"/>
      </w:pPr>
      <w:rPr>
        <w:rFonts w:ascii="Calibri" w:hAnsi="Calibri" w:hint="default"/>
        <w:b/>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lvlText w:val="%1.%3"/>
      <w:lvlJc w:val="left"/>
      <w:pPr>
        <w:tabs>
          <w:tab w:val="num" w:pos="1418"/>
        </w:tabs>
        <w:ind w:left="1418" w:hanging="709"/>
      </w:pPr>
      <w:rPr>
        <w:rFonts w:ascii="Arial" w:hAnsi="Arial" w:hint="default"/>
        <w:b w:val="0"/>
        <w:i w:val="0"/>
        <w:sz w:val="22"/>
      </w:rPr>
    </w:lvl>
    <w:lvl w:ilvl="3">
      <w:start w:val="1"/>
      <w:numFmt w:val="lowerLetter"/>
      <w:lvlRestart w:val="1"/>
      <w:lvlText w:val="%4)"/>
      <w:lvlJc w:val="left"/>
      <w:pPr>
        <w:tabs>
          <w:tab w:val="num" w:pos="1418"/>
        </w:tabs>
        <w:ind w:left="1418" w:hanging="709"/>
      </w:pPr>
      <w:rPr>
        <w:rFonts w:ascii="Arial" w:hAnsi="Arial" w:hint="default"/>
        <w:b w:val="0"/>
        <w:i w:val="0"/>
        <w:sz w:val="22"/>
      </w:rPr>
    </w:lvl>
    <w:lvl w:ilvl="4">
      <w:start w:val="1"/>
      <w:numFmt w:val="decimal"/>
      <w:lvlRestart w:val="3"/>
      <w:lvlText w:val="%1.%3.%5"/>
      <w:lvlJc w:val="left"/>
      <w:pPr>
        <w:tabs>
          <w:tab w:val="num" w:pos="2126"/>
        </w:tabs>
        <w:ind w:left="2126" w:hanging="708"/>
      </w:pPr>
      <w:rPr>
        <w:rFonts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38C22A1"/>
    <w:multiLevelType w:val="multilevel"/>
    <w:tmpl w:val="61FA2E4A"/>
    <w:numStyleLink w:val="Style1"/>
  </w:abstractNum>
  <w:abstractNum w:abstractNumId="7" w15:restartNumberingAfterBreak="0">
    <w:nsid w:val="48966D9F"/>
    <w:multiLevelType w:val="hybridMultilevel"/>
    <w:tmpl w:val="56963D5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 w15:restartNumberingAfterBreak="0">
    <w:nsid w:val="500936A5"/>
    <w:multiLevelType w:val="hybridMultilevel"/>
    <w:tmpl w:val="36B2D14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2B40AF9"/>
    <w:multiLevelType w:val="hybridMultilevel"/>
    <w:tmpl w:val="5FD6EEBE"/>
    <w:lvl w:ilvl="0" w:tplc="9DF0A736">
      <w:start w:val="1"/>
      <w:numFmt w:val="bullet"/>
      <w:pStyle w:val="TableSubBullet"/>
      <w:lvlText w:val="–"/>
      <w:lvlJc w:val="left"/>
      <w:pPr>
        <w:ind w:left="3183" w:hanging="360"/>
      </w:pPr>
      <w:rPr>
        <w:rFonts w:ascii="Arial" w:hAnsi="Arial" w:hint="default"/>
        <w:sz w:val="12"/>
      </w:rPr>
    </w:lvl>
    <w:lvl w:ilvl="1" w:tplc="DB10A24A">
      <w:start w:val="1"/>
      <w:numFmt w:val="bullet"/>
      <w:lvlText w:val="-"/>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1" w15:restartNumberingAfterBreak="0">
    <w:nsid w:val="557A63EB"/>
    <w:multiLevelType w:val="hybridMultilevel"/>
    <w:tmpl w:val="3392C4D4"/>
    <w:lvl w:ilvl="0" w:tplc="FFFFFFFF">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2" w15:restartNumberingAfterBreak="0">
    <w:nsid w:val="5A1B15AD"/>
    <w:multiLevelType w:val="hybridMultilevel"/>
    <w:tmpl w:val="05D2BA72"/>
    <w:lvl w:ilvl="0" w:tplc="4A1A49FE">
      <w:start w:val="1"/>
      <w:numFmt w:val="bullet"/>
      <w:lvlText w:val=""/>
      <w:lvlJc w:val="left"/>
      <w:pPr>
        <w:ind w:left="2143" w:hanging="360"/>
      </w:pPr>
      <w:rPr>
        <w:rFonts w:ascii="Symbol" w:hAnsi="Symbol" w:hint="default"/>
        <w:color w:val="1F497D"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3" w15:restartNumberingAfterBreak="0">
    <w:nsid w:val="5E022F05"/>
    <w:multiLevelType w:val="hybridMultilevel"/>
    <w:tmpl w:val="293A1682"/>
    <w:lvl w:ilvl="0" w:tplc="CCA8D41A">
      <w:start w:val="1"/>
      <w:numFmt w:val="bullet"/>
      <w:pStyle w:val="TSB-PolicyBullets"/>
      <w:lvlText w:val=""/>
      <w:lvlJc w:val="left"/>
      <w:pPr>
        <w:ind w:left="3183" w:hanging="360"/>
      </w:pPr>
      <w:rPr>
        <w:rFonts w:ascii="Symbol" w:hAnsi="Symbol" w:hint="default"/>
      </w:rPr>
    </w:lvl>
    <w:lvl w:ilvl="1" w:tplc="DB10A24A">
      <w:start w:val="1"/>
      <w:numFmt w:val="bullet"/>
      <w:lvlText w:val="-"/>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4" w15:restartNumberingAfterBreak="0">
    <w:nsid w:val="62FD5A0A"/>
    <w:multiLevelType w:val="hybridMultilevel"/>
    <w:tmpl w:val="E788DAD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5" w15:restartNumberingAfterBreak="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771C32"/>
    <w:multiLevelType w:val="hybridMultilevel"/>
    <w:tmpl w:val="C9AC74E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8" w15:restartNumberingAfterBreak="0">
    <w:nsid w:val="6EA57B9F"/>
    <w:multiLevelType w:val="multilevel"/>
    <w:tmpl w:val="726ABAEE"/>
    <w:lvl w:ilvl="0">
      <w:start w:val="1"/>
      <w:numFmt w:val="decimal"/>
      <w:lvlText w:val="%1"/>
      <w:lvlJc w:val="left"/>
      <w:pPr>
        <w:ind w:left="432" w:hanging="432"/>
      </w:pPr>
    </w:lvl>
    <w:lvl w:ilvl="1">
      <w:start w:val="1"/>
      <w:numFmt w:val="decimal"/>
      <w:pStyle w:val="Heading2"/>
      <w:lvlText w:val="%1.%2"/>
      <w:lvlJc w:val="left"/>
      <w:pPr>
        <w:ind w:left="576" w:hanging="576"/>
      </w:pPr>
      <w:rPr>
        <w:sz w:val="22"/>
        <w:szCs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72811795"/>
    <w:multiLevelType w:val="hybridMultilevel"/>
    <w:tmpl w:val="A9D83A2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0" w15:restartNumberingAfterBreak="0">
    <w:nsid w:val="754E042E"/>
    <w:multiLevelType w:val="hybridMultilevel"/>
    <w:tmpl w:val="169CBE0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1" w15:restartNumberingAfterBreak="0">
    <w:nsid w:val="75756479"/>
    <w:multiLevelType w:val="hybridMultilevel"/>
    <w:tmpl w:val="9DEE356E"/>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2" w15:restartNumberingAfterBreak="0">
    <w:nsid w:val="7EDF7562"/>
    <w:multiLevelType w:val="hybridMultilevel"/>
    <w:tmpl w:val="EFA4269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num w:numId="1">
    <w:abstractNumId w:val="15"/>
  </w:num>
  <w:num w:numId="2">
    <w:abstractNumId w:val="18"/>
  </w:num>
  <w:num w:numId="3">
    <w:abstractNumId w:val="9"/>
  </w:num>
  <w:num w:numId="4">
    <w:abstractNumId w:val="6"/>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1709"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11"/>
  </w:num>
  <w:num w:numId="7">
    <w:abstractNumId w:val="16"/>
  </w:num>
  <w:num w:numId="8">
    <w:abstractNumId w:val="13"/>
  </w:num>
  <w:num w:numId="9">
    <w:abstractNumId w:val="6"/>
    <w:lvlOverride w:ilvl="1">
      <w:lvl w:ilvl="1">
        <w:start w:val="1"/>
        <w:numFmt w:val="decimal"/>
        <w:pStyle w:val="Style2"/>
        <w:lvlText w:val="%1.%2."/>
        <w:lvlJc w:val="left"/>
        <w:pPr>
          <w:ind w:left="792" w:hanging="432"/>
        </w:pPr>
        <w:rPr>
          <w:rFonts w:asciiTheme="minorHAnsi" w:hAnsiTheme="minorHAnsi"/>
          <w:b w:val="0"/>
          <w:color w:val="auto"/>
          <w:sz w:val="22"/>
        </w:rPr>
      </w:lvl>
    </w:lvlOverride>
  </w:num>
  <w:num w:numId="10">
    <w:abstractNumId w:val="6"/>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tyle2"/>
        <w:lvlText w:val="%1.%2."/>
        <w:lvlJc w:val="center"/>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6"/>
    <w:lvlOverride w:ilvl="1">
      <w:lvl w:ilvl="1">
        <w:start w:val="1"/>
        <w:numFmt w:val="decimal"/>
        <w:pStyle w:val="Style2"/>
        <w:lvlText w:val="%1.%2."/>
        <w:lvlJc w:val="left"/>
        <w:pPr>
          <w:ind w:left="792" w:hanging="432"/>
        </w:pPr>
        <w:rPr>
          <w:rFonts w:asciiTheme="minorHAnsi" w:hAnsiTheme="minorHAnsi"/>
          <w:sz w:val="22"/>
        </w:rPr>
      </w:lvl>
    </w:lvlOverride>
  </w:num>
  <w:num w:numId="12">
    <w:abstractNumId w:val="10"/>
  </w:num>
  <w:num w:numId="13">
    <w:abstractNumId w:val="3"/>
  </w:num>
  <w:num w:numId="14">
    <w:abstractNumId w:val="5"/>
  </w:num>
  <w:num w:numId="15">
    <w:abstractNumId w:val="2"/>
  </w:num>
  <w:num w:numId="16">
    <w:abstractNumId w:val="4"/>
  </w:num>
  <w:num w:numId="17">
    <w:abstractNumId w:val="20"/>
  </w:num>
  <w:num w:numId="18">
    <w:abstractNumId w:val="19"/>
  </w:num>
  <w:num w:numId="19">
    <w:abstractNumId w:val="22"/>
  </w:num>
  <w:num w:numId="20">
    <w:abstractNumId w:val="14"/>
  </w:num>
  <w:num w:numId="21">
    <w:abstractNumId w:val="8"/>
  </w:num>
  <w:num w:numId="22">
    <w:abstractNumId w:val="21"/>
  </w:num>
  <w:num w:numId="23">
    <w:abstractNumId w:val="7"/>
  </w:num>
  <w:num w:numId="24">
    <w:abstractNumId w:val="17"/>
  </w:num>
  <w:num w:numId="25">
    <w:abstractNumId w:val="1"/>
  </w:num>
  <w:num w:numId="26">
    <w:abstractNumId w:val="6"/>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Style2"/>
        <w:lvlText w:val="%1.%2."/>
        <w:lvlJc w:val="left"/>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2"/>
  </w:num>
  <w:num w:numId="28">
    <w:abstractNumId w:val="6"/>
    <w:lvlOverride w:ilvl="0">
      <w:lvl w:ilvl="0">
        <w:start w:val="1"/>
        <w:numFmt w:val="decimal"/>
        <w:pStyle w:val="Heading10"/>
        <w:lvlText w:val="%1."/>
        <w:lvlJc w:val="left"/>
        <w:pPr>
          <w:ind w:left="360" w:hanging="360"/>
        </w:pPr>
        <w:rPr>
          <w:rFonts w:hint="default"/>
          <w:b/>
          <w:sz w:val="28"/>
        </w:rPr>
      </w:lvl>
    </w:lvlOverride>
    <w:lvlOverride w:ilvl="1">
      <w:lvl w:ilvl="1">
        <w:start w:val="1"/>
        <w:numFmt w:val="decimal"/>
        <w:pStyle w:val="Style2"/>
        <w:lvlText w:val="%1.%2."/>
        <w:lvlJc w:val="center"/>
        <w:pPr>
          <w:ind w:left="792"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6D"/>
    <w:rsid w:val="00000162"/>
    <w:rsid w:val="000023CA"/>
    <w:rsid w:val="000050A4"/>
    <w:rsid w:val="000100B6"/>
    <w:rsid w:val="0001177F"/>
    <w:rsid w:val="000118E2"/>
    <w:rsid w:val="000138E1"/>
    <w:rsid w:val="00014CF2"/>
    <w:rsid w:val="000214D0"/>
    <w:rsid w:val="00022F89"/>
    <w:rsid w:val="000309F5"/>
    <w:rsid w:val="000332F2"/>
    <w:rsid w:val="00037174"/>
    <w:rsid w:val="00040C15"/>
    <w:rsid w:val="00040E9B"/>
    <w:rsid w:val="0004203D"/>
    <w:rsid w:val="00042069"/>
    <w:rsid w:val="00043548"/>
    <w:rsid w:val="00047288"/>
    <w:rsid w:val="00051F9B"/>
    <w:rsid w:val="00055FA4"/>
    <w:rsid w:val="000567E2"/>
    <w:rsid w:val="00063006"/>
    <w:rsid w:val="00063F8C"/>
    <w:rsid w:val="00065C6B"/>
    <w:rsid w:val="00080091"/>
    <w:rsid w:val="00081631"/>
    <w:rsid w:val="000836D8"/>
    <w:rsid w:val="000865E0"/>
    <w:rsid w:val="000907A9"/>
    <w:rsid w:val="000931D5"/>
    <w:rsid w:val="00093BCB"/>
    <w:rsid w:val="000A1F0D"/>
    <w:rsid w:val="000A217A"/>
    <w:rsid w:val="000A28A0"/>
    <w:rsid w:val="000B1080"/>
    <w:rsid w:val="000B16CC"/>
    <w:rsid w:val="000B213E"/>
    <w:rsid w:val="000B4624"/>
    <w:rsid w:val="000B7B80"/>
    <w:rsid w:val="000C061E"/>
    <w:rsid w:val="000C07AC"/>
    <w:rsid w:val="000C66A9"/>
    <w:rsid w:val="000D618A"/>
    <w:rsid w:val="000D6CB9"/>
    <w:rsid w:val="000E24CE"/>
    <w:rsid w:val="000E2C37"/>
    <w:rsid w:val="000E3A6F"/>
    <w:rsid w:val="000E4979"/>
    <w:rsid w:val="000F0BDC"/>
    <w:rsid w:val="000F2717"/>
    <w:rsid w:val="000F6641"/>
    <w:rsid w:val="00102F13"/>
    <w:rsid w:val="001041F9"/>
    <w:rsid w:val="001048BA"/>
    <w:rsid w:val="00107098"/>
    <w:rsid w:val="0011144A"/>
    <w:rsid w:val="00111AB1"/>
    <w:rsid w:val="00112B99"/>
    <w:rsid w:val="00112BEB"/>
    <w:rsid w:val="00114F0B"/>
    <w:rsid w:val="001161EF"/>
    <w:rsid w:val="00122ED0"/>
    <w:rsid w:val="0012519B"/>
    <w:rsid w:val="00127C83"/>
    <w:rsid w:val="00134ABF"/>
    <w:rsid w:val="001352CE"/>
    <w:rsid w:val="00135B56"/>
    <w:rsid w:val="00150A2B"/>
    <w:rsid w:val="00152349"/>
    <w:rsid w:val="0015398A"/>
    <w:rsid w:val="00156CED"/>
    <w:rsid w:val="00160A81"/>
    <w:rsid w:val="001635E9"/>
    <w:rsid w:val="00164909"/>
    <w:rsid w:val="00166C2A"/>
    <w:rsid w:val="0017087A"/>
    <w:rsid w:val="00171113"/>
    <w:rsid w:val="00180455"/>
    <w:rsid w:val="00182077"/>
    <w:rsid w:val="001833B5"/>
    <w:rsid w:val="00184FE3"/>
    <w:rsid w:val="00191CCB"/>
    <w:rsid w:val="00191DF6"/>
    <w:rsid w:val="00192C68"/>
    <w:rsid w:val="00194662"/>
    <w:rsid w:val="00196AEB"/>
    <w:rsid w:val="00196E4A"/>
    <w:rsid w:val="001977AF"/>
    <w:rsid w:val="001A18B6"/>
    <w:rsid w:val="001A4B45"/>
    <w:rsid w:val="001A5122"/>
    <w:rsid w:val="001A65D3"/>
    <w:rsid w:val="001A6604"/>
    <w:rsid w:val="001A79FA"/>
    <w:rsid w:val="001B0D61"/>
    <w:rsid w:val="001B4BEB"/>
    <w:rsid w:val="001B76C4"/>
    <w:rsid w:val="001C0534"/>
    <w:rsid w:val="001C0EBA"/>
    <w:rsid w:val="001C181C"/>
    <w:rsid w:val="001C2DE9"/>
    <w:rsid w:val="001C477A"/>
    <w:rsid w:val="001C55C2"/>
    <w:rsid w:val="001C6D2B"/>
    <w:rsid w:val="001D508E"/>
    <w:rsid w:val="001E1528"/>
    <w:rsid w:val="001E403E"/>
    <w:rsid w:val="001E41C5"/>
    <w:rsid w:val="001E5AF6"/>
    <w:rsid w:val="001E5BB1"/>
    <w:rsid w:val="001E6910"/>
    <w:rsid w:val="001F157B"/>
    <w:rsid w:val="001F16AD"/>
    <w:rsid w:val="001F3CFB"/>
    <w:rsid w:val="001F755B"/>
    <w:rsid w:val="001F7D5A"/>
    <w:rsid w:val="002012D9"/>
    <w:rsid w:val="0020142B"/>
    <w:rsid w:val="00203B7F"/>
    <w:rsid w:val="0020593B"/>
    <w:rsid w:val="00206835"/>
    <w:rsid w:val="002076E4"/>
    <w:rsid w:val="00207C5A"/>
    <w:rsid w:val="00207DE9"/>
    <w:rsid w:val="0021069D"/>
    <w:rsid w:val="00212E86"/>
    <w:rsid w:val="00213141"/>
    <w:rsid w:val="002169BF"/>
    <w:rsid w:val="00224985"/>
    <w:rsid w:val="002255EF"/>
    <w:rsid w:val="00227E6E"/>
    <w:rsid w:val="00230971"/>
    <w:rsid w:val="00233382"/>
    <w:rsid w:val="00233524"/>
    <w:rsid w:val="00234463"/>
    <w:rsid w:val="00237825"/>
    <w:rsid w:val="00237B28"/>
    <w:rsid w:val="00237C2D"/>
    <w:rsid w:val="00240743"/>
    <w:rsid w:val="00240E20"/>
    <w:rsid w:val="0024163C"/>
    <w:rsid w:val="00242D19"/>
    <w:rsid w:val="00245588"/>
    <w:rsid w:val="002455D7"/>
    <w:rsid w:val="002470C8"/>
    <w:rsid w:val="002614E8"/>
    <w:rsid w:val="00262540"/>
    <w:rsid w:val="00263F49"/>
    <w:rsid w:val="00271865"/>
    <w:rsid w:val="0027209F"/>
    <w:rsid w:val="002724C1"/>
    <w:rsid w:val="002769C8"/>
    <w:rsid w:val="0028203B"/>
    <w:rsid w:val="002828E2"/>
    <w:rsid w:val="00287985"/>
    <w:rsid w:val="00287F87"/>
    <w:rsid w:val="0029265C"/>
    <w:rsid w:val="002A39DE"/>
    <w:rsid w:val="002A43B2"/>
    <w:rsid w:val="002A513D"/>
    <w:rsid w:val="002B6711"/>
    <w:rsid w:val="002B6901"/>
    <w:rsid w:val="002C220C"/>
    <w:rsid w:val="002C3AF5"/>
    <w:rsid w:val="002C4AE2"/>
    <w:rsid w:val="002D3074"/>
    <w:rsid w:val="002E2188"/>
    <w:rsid w:val="002E404D"/>
    <w:rsid w:val="002E6879"/>
    <w:rsid w:val="002E795E"/>
    <w:rsid w:val="002F09DF"/>
    <w:rsid w:val="002F2CF8"/>
    <w:rsid w:val="002F2FAB"/>
    <w:rsid w:val="002F77C9"/>
    <w:rsid w:val="00300C24"/>
    <w:rsid w:val="00304D5C"/>
    <w:rsid w:val="00310EF5"/>
    <w:rsid w:val="003129E4"/>
    <w:rsid w:val="00314964"/>
    <w:rsid w:val="003153AF"/>
    <w:rsid w:val="00316537"/>
    <w:rsid w:val="003222DD"/>
    <w:rsid w:val="0032329C"/>
    <w:rsid w:val="00324C03"/>
    <w:rsid w:val="003251F2"/>
    <w:rsid w:val="0032566E"/>
    <w:rsid w:val="00330BD2"/>
    <w:rsid w:val="00343313"/>
    <w:rsid w:val="00343B0C"/>
    <w:rsid w:val="00345CDF"/>
    <w:rsid w:val="00350000"/>
    <w:rsid w:val="00350295"/>
    <w:rsid w:val="00351E65"/>
    <w:rsid w:val="0035319B"/>
    <w:rsid w:val="003573B4"/>
    <w:rsid w:val="00361211"/>
    <w:rsid w:val="0036141C"/>
    <w:rsid w:val="003625AB"/>
    <w:rsid w:val="00370F77"/>
    <w:rsid w:val="00375EB1"/>
    <w:rsid w:val="00382ADF"/>
    <w:rsid w:val="0039018A"/>
    <w:rsid w:val="003909B6"/>
    <w:rsid w:val="003923A2"/>
    <w:rsid w:val="003932D7"/>
    <w:rsid w:val="00393B37"/>
    <w:rsid w:val="0039734F"/>
    <w:rsid w:val="003A184B"/>
    <w:rsid w:val="003A1880"/>
    <w:rsid w:val="003A1A85"/>
    <w:rsid w:val="003A3ADA"/>
    <w:rsid w:val="003A4C04"/>
    <w:rsid w:val="003A567B"/>
    <w:rsid w:val="003A6BAD"/>
    <w:rsid w:val="003B1ABB"/>
    <w:rsid w:val="003B25E8"/>
    <w:rsid w:val="003B2C96"/>
    <w:rsid w:val="003B628D"/>
    <w:rsid w:val="003B7E94"/>
    <w:rsid w:val="003C12BF"/>
    <w:rsid w:val="003C2C91"/>
    <w:rsid w:val="003C35A4"/>
    <w:rsid w:val="003D3904"/>
    <w:rsid w:val="003D4877"/>
    <w:rsid w:val="003D4CAA"/>
    <w:rsid w:val="003D6082"/>
    <w:rsid w:val="003D7107"/>
    <w:rsid w:val="003E15EC"/>
    <w:rsid w:val="003E2874"/>
    <w:rsid w:val="003E50AF"/>
    <w:rsid w:val="003E574B"/>
    <w:rsid w:val="003E5C84"/>
    <w:rsid w:val="003F05B5"/>
    <w:rsid w:val="003F0A4B"/>
    <w:rsid w:val="003F17BC"/>
    <w:rsid w:val="003F2506"/>
    <w:rsid w:val="003F3F3D"/>
    <w:rsid w:val="003F5934"/>
    <w:rsid w:val="003F5C52"/>
    <w:rsid w:val="003F7C85"/>
    <w:rsid w:val="00402FF6"/>
    <w:rsid w:val="00410192"/>
    <w:rsid w:val="00413263"/>
    <w:rsid w:val="00414B63"/>
    <w:rsid w:val="00417DAB"/>
    <w:rsid w:val="00421A4E"/>
    <w:rsid w:val="00421F70"/>
    <w:rsid w:val="0042635A"/>
    <w:rsid w:val="004305F8"/>
    <w:rsid w:val="00430D7A"/>
    <w:rsid w:val="0043256B"/>
    <w:rsid w:val="00432DA9"/>
    <w:rsid w:val="00435227"/>
    <w:rsid w:val="004354E8"/>
    <w:rsid w:val="0044066C"/>
    <w:rsid w:val="00441947"/>
    <w:rsid w:val="00443697"/>
    <w:rsid w:val="0045075A"/>
    <w:rsid w:val="004571F2"/>
    <w:rsid w:val="0045782A"/>
    <w:rsid w:val="00461D57"/>
    <w:rsid w:val="00462C4F"/>
    <w:rsid w:val="00463E76"/>
    <w:rsid w:val="00465987"/>
    <w:rsid w:val="00466259"/>
    <w:rsid w:val="00466A8B"/>
    <w:rsid w:val="00472C64"/>
    <w:rsid w:val="004740D0"/>
    <w:rsid w:val="004749B4"/>
    <w:rsid w:val="00475044"/>
    <w:rsid w:val="00475594"/>
    <w:rsid w:val="00482C00"/>
    <w:rsid w:val="00483431"/>
    <w:rsid w:val="004843E1"/>
    <w:rsid w:val="00486B92"/>
    <w:rsid w:val="00491F60"/>
    <w:rsid w:val="00492151"/>
    <w:rsid w:val="00493406"/>
    <w:rsid w:val="00493B72"/>
    <w:rsid w:val="004A2EE9"/>
    <w:rsid w:val="004A32CB"/>
    <w:rsid w:val="004A4984"/>
    <w:rsid w:val="004A6A53"/>
    <w:rsid w:val="004B0546"/>
    <w:rsid w:val="004B4B1C"/>
    <w:rsid w:val="004B4E32"/>
    <w:rsid w:val="004B6D8B"/>
    <w:rsid w:val="004B78EB"/>
    <w:rsid w:val="004C00CD"/>
    <w:rsid w:val="004C0C85"/>
    <w:rsid w:val="004C1698"/>
    <w:rsid w:val="004C1B0D"/>
    <w:rsid w:val="004C44C5"/>
    <w:rsid w:val="004C5E57"/>
    <w:rsid w:val="004C69B5"/>
    <w:rsid w:val="004C6B7F"/>
    <w:rsid w:val="004D36A1"/>
    <w:rsid w:val="004D5CF7"/>
    <w:rsid w:val="004D6031"/>
    <w:rsid w:val="004D7D52"/>
    <w:rsid w:val="004E018D"/>
    <w:rsid w:val="004E42D0"/>
    <w:rsid w:val="004E4E2B"/>
    <w:rsid w:val="004E7B1C"/>
    <w:rsid w:val="004F014D"/>
    <w:rsid w:val="004F03DD"/>
    <w:rsid w:val="004F1637"/>
    <w:rsid w:val="004F364C"/>
    <w:rsid w:val="004F6057"/>
    <w:rsid w:val="004F62DC"/>
    <w:rsid w:val="00501E77"/>
    <w:rsid w:val="005025ED"/>
    <w:rsid w:val="00504FA7"/>
    <w:rsid w:val="00510B45"/>
    <w:rsid w:val="00511050"/>
    <w:rsid w:val="005138C6"/>
    <w:rsid w:val="00517D18"/>
    <w:rsid w:val="00522DC2"/>
    <w:rsid w:val="0052476C"/>
    <w:rsid w:val="00526E38"/>
    <w:rsid w:val="00527A84"/>
    <w:rsid w:val="00527B30"/>
    <w:rsid w:val="0053371E"/>
    <w:rsid w:val="005337C6"/>
    <w:rsid w:val="00535442"/>
    <w:rsid w:val="0054403D"/>
    <w:rsid w:val="00544B97"/>
    <w:rsid w:val="00551A19"/>
    <w:rsid w:val="00557FBC"/>
    <w:rsid w:val="005628D8"/>
    <w:rsid w:val="00562D6D"/>
    <w:rsid w:val="00563A69"/>
    <w:rsid w:val="00566EA3"/>
    <w:rsid w:val="005708DC"/>
    <w:rsid w:val="00570D08"/>
    <w:rsid w:val="00573DF9"/>
    <w:rsid w:val="00583213"/>
    <w:rsid w:val="00585773"/>
    <w:rsid w:val="00585A1B"/>
    <w:rsid w:val="00586D0C"/>
    <w:rsid w:val="005915C7"/>
    <w:rsid w:val="005918E9"/>
    <w:rsid w:val="00592B81"/>
    <w:rsid w:val="005970E7"/>
    <w:rsid w:val="0059794F"/>
    <w:rsid w:val="00597AE2"/>
    <w:rsid w:val="005A5344"/>
    <w:rsid w:val="005B132B"/>
    <w:rsid w:val="005B1C5F"/>
    <w:rsid w:val="005B268E"/>
    <w:rsid w:val="005B3CCA"/>
    <w:rsid w:val="005B4515"/>
    <w:rsid w:val="005B5250"/>
    <w:rsid w:val="005C15E4"/>
    <w:rsid w:val="005C31A9"/>
    <w:rsid w:val="005C4279"/>
    <w:rsid w:val="005C6396"/>
    <w:rsid w:val="005D1F6B"/>
    <w:rsid w:val="005D391F"/>
    <w:rsid w:val="005E0408"/>
    <w:rsid w:val="005E041B"/>
    <w:rsid w:val="005E0AC7"/>
    <w:rsid w:val="005E1E09"/>
    <w:rsid w:val="005E2C99"/>
    <w:rsid w:val="005F1427"/>
    <w:rsid w:val="005F292F"/>
    <w:rsid w:val="005F3775"/>
    <w:rsid w:val="005F3E9D"/>
    <w:rsid w:val="00602557"/>
    <w:rsid w:val="00603B1D"/>
    <w:rsid w:val="006055E4"/>
    <w:rsid w:val="006062F7"/>
    <w:rsid w:val="00607B2C"/>
    <w:rsid w:val="0061771B"/>
    <w:rsid w:val="00621FA8"/>
    <w:rsid w:val="00626EF8"/>
    <w:rsid w:val="006272AA"/>
    <w:rsid w:val="00630884"/>
    <w:rsid w:val="006310D7"/>
    <w:rsid w:val="00631F57"/>
    <w:rsid w:val="0064440E"/>
    <w:rsid w:val="006506CE"/>
    <w:rsid w:val="00653A10"/>
    <w:rsid w:val="00653F3E"/>
    <w:rsid w:val="0065484A"/>
    <w:rsid w:val="0066073B"/>
    <w:rsid w:val="0066271E"/>
    <w:rsid w:val="0066442C"/>
    <w:rsid w:val="00667E55"/>
    <w:rsid w:val="00673E6A"/>
    <w:rsid w:val="00675537"/>
    <w:rsid w:val="00675E4A"/>
    <w:rsid w:val="00680CEE"/>
    <w:rsid w:val="00681D42"/>
    <w:rsid w:val="00682EB6"/>
    <w:rsid w:val="00683C65"/>
    <w:rsid w:val="00684ECC"/>
    <w:rsid w:val="00686E2E"/>
    <w:rsid w:val="0069143F"/>
    <w:rsid w:val="006A6754"/>
    <w:rsid w:val="006A6867"/>
    <w:rsid w:val="006A6F6A"/>
    <w:rsid w:val="006B21B0"/>
    <w:rsid w:val="006B2F2F"/>
    <w:rsid w:val="006B77D1"/>
    <w:rsid w:val="006C3085"/>
    <w:rsid w:val="006D6950"/>
    <w:rsid w:val="006E060F"/>
    <w:rsid w:val="006E0F5F"/>
    <w:rsid w:val="006E2008"/>
    <w:rsid w:val="006E203B"/>
    <w:rsid w:val="006E2A7A"/>
    <w:rsid w:val="006E3879"/>
    <w:rsid w:val="006E4D56"/>
    <w:rsid w:val="006E5714"/>
    <w:rsid w:val="006E770D"/>
    <w:rsid w:val="006E7A62"/>
    <w:rsid w:val="006F16BD"/>
    <w:rsid w:val="006F4770"/>
    <w:rsid w:val="006F57D3"/>
    <w:rsid w:val="006F5BC9"/>
    <w:rsid w:val="0070233F"/>
    <w:rsid w:val="007112DF"/>
    <w:rsid w:val="00712725"/>
    <w:rsid w:val="007169F5"/>
    <w:rsid w:val="007211A0"/>
    <w:rsid w:val="00721934"/>
    <w:rsid w:val="0072396F"/>
    <w:rsid w:val="00725AC9"/>
    <w:rsid w:val="007271AF"/>
    <w:rsid w:val="00730303"/>
    <w:rsid w:val="007325CF"/>
    <w:rsid w:val="007325DC"/>
    <w:rsid w:val="00733AB1"/>
    <w:rsid w:val="007361A2"/>
    <w:rsid w:val="00741651"/>
    <w:rsid w:val="00742389"/>
    <w:rsid w:val="00744EE0"/>
    <w:rsid w:val="00752A20"/>
    <w:rsid w:val="00754CEE"/>
    <w:rsid w:val="00761B33"/>
    <w:rsid w:val="0076600A"/>
    <w:rsid w:val="00766C6A"/>
    <w:rsid w:val="00766EF5"/>
    <w:rsid w:val="007737C4"/>
    <w:rsid w:val="00777073"/>
    <w:rsid w:val="00783359"/>
    <w:rsid w:val="00785641"/>
    <w:rsid w:val="007872D9"/>
    <w:rsid w:val="00791597"/>
    <w:rsid w:val="00791C9E"/>
    <w:rsid w:val="00793950"/>
    <w:rsid w:val="00796480"/>
    <w:rsid w:val="007A17AE"/>
    <w:rsid w:val="007A65B0"/>
    <w:rsid w:val="007B104A"/>
    <w:rsid w:val="007B3740"/>
    <w:rsid w:val="007B4853"/>
    <w:rsid w:val="007B72E5"/>
    <w:rsid w:val="007B7475"/>
    <w:rsid w:val="007C0E8C"/>
    <w:rsid w:val="007C18D2"/>
    <w:rsid w:val="007D3062"/>
    <w:rsid w:val="007D5B99"/>
    <w:rsid w:val="007E0CAA"/>
    <w:rsid w:val="007E535E"/>
    <w:rsid w:val="007E61A0"/>
    <w:rsid w:val="007E7E23"/>
    <w:rsid w:val="007F1221"/>
    <w:rsid w:val="007F1FFB"/>
    <w:rsid w:val="007F6ABE"/>
    <w:rsid w:val="007F7982"/>
    <w:rsid w:val="00800008"/>
    <w:rsid w:val="0080065E"/>
    <w:rsid w:val="008016C3"/>
    <w:rsid w:val="0080195A"/>
    <w:rsid w:val="00810848"/>
    <w:rsid w:val="0081170D"/>
    <w:rsid w:val="00813091"/>
    <w:rsid w:val="008215CE"/>
    <w:rsid w:val="00827A27"/>
    <w:rsid w:val="00830223"/>
    <w:rsid w:val="0083130F"/>
    <w:rsid w:val="0083174A"/>
    <w:rsid w:val="00841497"/>
    <w:rsid w:val="00844F89"/>
    <w:rsid w:val="00847389"/>
    <w:rsid w:val="00847A42"/>
    <w:rsid w:val="00847CDD"/>
    <w:rsid w:val="008521DD"/>
    <w:rsid w:val="00854F34"/>
    <w:rsid w:val="00856C32"/>
    <w:rsid w:val="00861083"/>
    <w:rsid w:val="00865449"/>
    <w:rsid w:val="00867141"/>
    <w:rsid w:val="008674AC"/>
    <w:rsid w:val="008679CC"/>
    <w:rsid w:val="0087014D"/>
    <w:rsid w:val="008702FE"/>
    <w:rsid w:val="0087447C"/>
    <w:rsid w:val="008800F3"/>
    <w:rsid w:val="00881284"/>
    <w:rsid w:val="00883F81"/>
    <w:rsid w:val="00886D58"/>
    <w:rsid w:val="0089113B"/>
    <w:rsid w:val="0089581D"/>
    <w:rsid w:val="00897DE6"/>
    <w:rsid w:val="008A25FA"/>
    <w:rsid w:val="008A360D"/>
    <w:rsid w:val="008A4101"/>
    <w:rsid w:val="008B2BDD"/>
    <w:rsid w:val="008B50BA"/>
    <w:rsid w:val="008B64EB"/>
    <w:rsid w:val="008C1A59"/>
    <w:rsid w:val="008C1D03"/>
    <w:rsid w:val="008C2CD3"/>
    <w:rsid w:val="008C666D"/>
    <w:rsid w:val="008D1CEE"/>
    <w:rsid w:val="008D57D4"/>
    <w:rsid w:val="008D6794"/>
    <w:rsid w:val="008D78AF"/>
    <w:rsid w:val="008E3CAA"/>
    <w:rsid w:val="008E451A"/>
    <w:rsid w:val="008E4A9F"/>
    <w:rsid w:val="008E5549"/>
    <w:rsid w:val="008E5BE6"/>
    <w:rsid w:val="008E6D44"/>
    <w:rsid w:val="008E736E"/>
    <w:rsid w:val="008E7B04"/>
    <w:rsid w:val="008F2879"/>
    <w:rsid w:val="008F301C"/>
    <w:rsid w:val="00902457"/>
    <w:rsid w:val="0090570C"/>
    <w:rsid w:val="00906D77"/>
    <w:rsid w:val="00911CD5"/>
    <w:rsid w:val="00916653"/>
    <w:rsid w:val="0091682F"/>
    <w:rsid w:val="00920445"/>
    <w:rsid w:val="00921DCB"/>
    <w:rsid w:val="009229DA"/>
    <w:rsid w:val="00922BA1"/>
    <w:rsid w:val="00922CF2"/>
    <w:rsid w:val="00925A59"/>
    <w:rsid w:val="00925EF4"/>
    <w:rsid w:val="00927253"/>
    <w:rsid w:val="009301FC"/>
    <w:rsid w:val="009321EA"/>
    <w:rsid w:val="0094103E"/>
    <w:rsid w:val="009456B7"/>
    <w:rsid w:val="00945961"/>
    <w:rsid w:val="009475B4"/>
    <w:rsid w:val="00952DFC"/>
    <w:rsid w:val="009530AA"/>
    <w:rsid w:val="00953821"/>
    <w:rsid w:val="0095425A"/>
    <w:rsid w:val="00956989"/>
    <w:rsid w:val="00965A1D"/>
    <w:rsid w:val="00965E82"/>
    <w:rsid w:val="00970666"/>
    <w:rsid w:val="00970816"/>
    <w:rsid w:val="009718AF"/>
    <w:rsid w:val="00972E0F"/>
    <w:rsid w:val="00977AA4"/>
    <w:rsid w:val="00980670"/>
    <w:rsid w:val="00981ACB"/>
    <w:rsid w:val="00982106"/>
    <w:rsid w:val="00983066"/>
    <w:rsid w:val="0098375A"/>
    <w:rsid w:val="00993A5C"/>
    <w:rsid w:val="009949C1"/>
    <w:rsid w:val="00995AF2"/>
    <w:rsid w:val="00996FF7"/>
    <w:rsid w:val="009A078A"/>
    <w:rsid w:val="009A0FA9"/>
    <w:rsid w:val="009A4052"/>
    <w:rsid w:val="009A5551"/>
    <w:rsid w:val="009A6AB2"/>
    <w:rsid w:val="009A702B"/>
    <w:rsid w:val="009A758E"/>
    <w:rsid w:val="009B00B0"/>
    <w:rsid w:val="009B3E6F"/>
    <w:rsid w:val="009B494D"/>
    <w:rsid w:val="009B4985"/>
    <w:rsid w:val="009B702B"/>
    <w:rsid w:val="009C4014"/>
    <w:rsid w:val="009C72C0"/>
    <w:rsid w:val="009D1A1B"/>
    <w:rsid w:val="009D3F73"/>
    <w:rsid w:val="009D5A9F"/>
    <w:rsid w:val="009E53B1"/>
    <w:rsid w:val="009F0D88"/>
    <w:rsid w:val="009F2744"/>
    <w:rsid w:val="009F3A48"/>
    <w:rsid w:val="00A01E1C"/>
    <w:rsid w:val="00A06FE5"/>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525ED"/>
    <w:rsid w:val="00A547CF"/>
    <w:rsid w:val="00A572F3"/>
    <w:rsid w:val="00A61CB9"/>
    <w:rsid w:val="00A63332"/>
    <w:rsid w:val="00A6540D"/>
    <w:rsid w:val="00A66CE5"/>
    <w:rsid w:val="00A67184"/>
    <w:rsid w:val="00A7242F"/>
    <w:rsid w:val="00A74C4C"/>
    <w:rsid w:val="00A7597D"/>
    <w:rsid w:val="00A76D09"/>
    <w:rsid w:val="00A82E67"/>
    <w:rsid w:val="00A838EF"/>
    <w:rsid w:val="00A83B26"/>
    <w:rsid w:val="00A848E9"/>
    <w:rsid w:val="00A87A8B"/>
    <w:rsid w:val="00A9084D"/>
    <w:rsid w:val="00A92638"/>
    <w:rsid w:val="00AA0338"/>
    <w:rsid w:val="00AA0B75"/>
    <w:rsid w:val="00AA1FFC"/>
    <w:rsid w:val="00AA24A8"/>
    <w:rsid w:val="00AA515B"/>
    <w:rsid w:val="00AB43BC"/>
    <w:rsid w:val="00AC0555"/>
    <w:rsid w:val="00AC160E"/>
    <w:rsid w:val="00AC1FA5"/>
    <w:rsid w:val="00AC541B"/>
    <w:rsid w:val="00AC76C9"/>
    <w:rsid w:val="00AC7D29"/>
    <w:rsid w:val="00AD2724"/>
    <w:rsid w:val="00AD2A2C"/>
    <w:rsid w:val="00AD2B43"/>
    <w:rsid w:val="00AD4155"/>
    <w:rsid w:val="00AD5F92"/>
    <w:rsid w:val="00AE1D08"/>
    <w:rsid w:val="00AE1D91"/>
    <w:rsid w:val="00AE273A"/>
    <w:rsid w:val="00AE2923"/>
    <w:rsid w:val="00AE62B7"/>
    <w:rsid w:val="00AF00AB"/>
    <w:rsid w:val="00AF00B6"/>
    <w:rsid w:val="00AF0866"/>
    <w:rsid w:val="00AF4375"/>
    <w:rsid w:val="00AF7E0E"/>
    <w:rsid w:val="00B00D9F"/>
    <w:rsid w:val="00B01464"/>
    <w:rsid w:val="00B04553"/>
    <w:rsid w:val="00B050F4"/>
    <w:rsid w:val="00B061C4"/>
    <w:rsid w:val="00B0737B"/>
    <w:rsid w:val="00B10C3A"/>
    <w:rsid w:val="00B11932"/>
    <w:rsid w:val="00B11D08"/>
    <w:rsid w:val="00B15432"/>
    <w:rsid w:val="00B1714E"/>
    <w:rsid w:val="00B23F1B"/>
    <w:rsid w:val="00B27B9F"/>
    <w:rsid w:val="00B319DE"/>
    <w:rsid w:val="00B33428"/>
    <w:rsid w:val="00B42F4D"/>
    <w:rsid w:val="00B454C2"/>
    <w:rsid w:val="00B46687"/>
    <w:rsid w:val="00B5076A"/>
    <w:rsid w:val="00B50959"/>
    <w:rsid w:val="00B611CA"/>
    <w:rsid w:val="00B666E4"/>
    <w:rsid w:val="00B7381C"/>
    <w:rsid w:val="00B76721"/>
    <w:rsid w:val="00B81BF1"/>
    <w:rsid w:val="00B84183"/>
    <w:rsid w:val="00B85E66"/>
    <w:rsid w:val="00B85F56"/>
    <w:rsid w:val="00B86FF4"/>
    <w:rsid w:val="00B877CC"/>
    <w:rsid w:val="00B87DFE"/>
    <w:rsid w:val="00B9340B"/>
    <w:rsid w:val="00B942D5"/>
    <w:rsid w:val="00B95104"/>
    <w:rsid w:val="00BA08A1"/>
    <w:rsid w:val="00BA0E44"/>
    <w:rsid w:val="00BA63EB"/>
    <w:rsid w:val="00BA7C96"/>
    <w:rsid w:val="00BB7263"/>
    <w:rsid w:val="00BC018F"/>
    <w:rsid w:val="00BC6018"/>
    <w:rsid w:val="00BC7105"/>
    <w:rsid w:val="00BC7B61"/>
    <w:rsid w:val="00BD1FEF"/>
    <w:rsid w:val="00BD2CB6"/>
    <w:rsid w:val="00BD69AF"/>
    <w:rsid w:val="00BD7245"/>
    <w:rsid w:val="00BE135F"/>
    <w:rsid w:val="00BE2741"/>
    <w:rsid w:val="00BE4904"/>
    <w:rsid w:val="00BE7DF8"/>
    <w:rsid w:val="00BF2BDC"/>
    <w:rsid w:val="00BF5916"/>
    <w:rsid w:val="00C008E4"/>
    <w:rsid w:val="00C03493"/>
    <w:rsid w:val="00C04D58"/>
    <w:rsid w:val="00C112D1"/>
    <w:rsid w:val="00C15C14"/>
    <w:rsid w:val="00C21072"/>
    <w:rsid w:val="00C2373C"/>
    <w:rsid w:val="00C2487B"/>
    <w:rsid w:val="00C37375"/>
    <w:rsid w:val="00C40B63"/>
    <w:rsid w:val="00C40B7C"/>
    <w:rsid w:val="00C41284"/>
    <w:rsid w:val="00C42F7A"/>
    <w:rsid w:val="00C46E7E"/>
    <w:rsid w:val="00C50E27"/>
    <w:rsid w:val="00C54B21"/>
    <w:rsid w:val="00C55C33"/>
    <w:rsid w:val="00C55FDB"/>
    <w:rsid w:val="00C562AD"/>
    <w:rsid w:val="00C61466"/>
    <w:rsid w:val="00C623DA"/>
    <w:rsid w:val="00C64947"/>
    <w:rsid w:val="00C71CAC"/>
    <w:rsid w:val="00C72015"/>
    <w:rsid w:val="00C723FA"/>
    <w:rsid w:val="00C73B22"/>
    <w:rsid w:val="00C75B5A"/>
    <w:rsid w:val="00C82610"/>
    <w:rsid w:val="00C8446D"/>
    <w:rsid w:val="00C869E2"/>
    <w:rsid w:val="00C90FE4"/>
    <w:rsid w:val="00C91830"/>
    <w:rsid w:val="00C918A4"/>
    <w:rsid w:val="00C92E68"/>
    <w:rsid w:val="00C95D0F"/>
    <w:rsid w:val="00C96500"/>
    <w:rsid w:val="00CA738C"/>
    <w:rsid w:val="00CB09E1"/>
    <w:rsid w:val="00CB0DBC"/>
    <w:rsid w:val="00CB2979"/>
    <w:rsid w:val="00CC1633"/>
    <w:rsid w:val="00CC5483"/>
    <w:rsid w:val="00CD05D9"/>
    <w:rsid w:val="00CD0982"/>
    <w:rsid w:val="00CD0B91"/>
    <w:rsid w:val="00CD20CB"/>
    <w:rsid w:val="00CD2975"/>
    <w:rsid w:val="00CD4C43"/>
    <w:rsid w:val="00CD6512"/>
    <w:rsid w:val="00CD7171"/>
    <w:rsid w:val="00CE1A35"/>
    <w:rsid w:val="00CE5026"/>
    <w:rsid w:val="00CE5CDC"/>
    <w:rsid w:val="00CE6A92"/>
    <w:rsid w:val="00CE770D"/>
    <w:rsid w:val="00CF0D45"/>
    <w:rsid w:val="00CF47ED"/>
    <w:rsid w:val="00D067C0"/>
    <w:rsid w:val="00D06B48"/>
    <w:rsid w:val="00D06CE6"/>
    <w:rsid w:val="00D07875"/>
    <w:rsid w:val="00D16710"/>
    <w:rsid w:val="00D2054E"/>
    <w:rsid w:val="00D244CB"/>
    <w:rsid w:val="00D3437B"/>
    <w:rsid w:val="00D3592E"/>
    <w:rsid w:val="00D36009"/>
    <w:rsid w:val="00D37437"/>
    <w:rsid w:val="00D40433"/>
    <w:rsid w:val="00D40690"/>
    <w:rsid w:val="00D4270D"/>
    <w:rsid w:val="00D43792"/>
    <w:rsid w:val="00D441E0"/>
    <w:rsid w:val="00D50DEA"/>
    <w:rsid w:val="00D51BE9"/>
    <w:rsid w:val="00D51E45"/>
    <w:rsid w:val="00D53967"/>
    <w:rsid w:val="00D540A7"/>
    <w:rsid w:val="00D559E2"/>
    <w:rsid w:val="00D55C4F"/>
    <w:rsid w:val="00D6119F"/>
    <w:rsid w:val="00D673EF"/>
    <w:rsid w:val="00D67C4E"/>
    <w:rsid w:val="00D70413"/>
    <w:rsid w:val="00D71EFE"/>
    <w:rsid w:val="00D748C2"/>
    <w:rsid w:val="00D76708"/>
    <w:rsid w:val="00D77899"/>
    <w:rsid w:val="00D83975"/>
    <w:rsid w:val="00D87076"/>
    <w:rsid w:val="00D9360D"/>
    <w:rsid w:val="00D9522E"/>
    <w:rsid w:val="00D96E4C"/>
    <w:rsid w:val="00DA129B"/>
    <w:rsid w:val="00DA3947"/>
    <w:rsid w:val="00DA4E5D"/>
    <w:rsid w:val="00DA5D36"/>
    <w:rsid w:val="00DB1850"/>
    <w:rsid w:val="00DB1EB3"/>
    <w:rsid w:val="00DB26DD"/>
    <w:rsid w:val="00DB5726"/>
    <w:rsid w:val="00DC264D"/>
    <w:rsid w:val="00DC58C7"/>
    <w:rsid w:val="00DC68C3"/>
    <w:rsid w:val="00DC6B61"/>
    <w:rsid w:val="00DC75B6"/>
    <w:rsid w:val="00DC7ED7"/>
    <w:rsid w:val="00DD053F"/>
    <w:rsid w:val="00DD0975"/>
    <w:rsid w:val="00DD3C82"/>
    <w:rsid w:val="00DD3D7E"/>
    <w:rsid w:val="00DD3EF1"/>
    <w:rsid w:val="00DD6EE4"/>
    <w:rsid w:val="00DD788B"/>
    <w:rsid w:val="00DE6FC6"/>
    <w:rsid w:val="00DF1F47"/>
    <w:rsid w:val="00DF73DB"/>
    <w:rsid w:val="00DF7667"/>
    <w:rsid w:val="00E00078"/>
    <w:rsid w:val="00E057C7"/>
    <w:rsid w:val="00E0759D"/>
    <w:rsid w:val="00E13ABB"/>
    <w:rsid w:val="00E14F08"/>
    <w:rsid w:val="00E1518C"/>
    <w:rsid w:val="00E15644"/>
    <w:rsid w:val="00E1780F"/>
    <w:rsid w:val="00E20992"/>
    <w:rsid w:val="00E20E63"/>
    <w:rsid w:val="00E228D7"/>
    <w:rsid w:val="00E23C56"/>
    <w:rsid w:val="00E26D4F"/>
    <w:rsid w:val="00E3160D"/>
    <w:rsid w:val="00E33814"/>
    <w:rsid w:val="00E33ADC"/>
    <w:rsid w:val="00E37A90"/>
    <w:rsid w:val="00E40CED"/>
    <w:rsid w:val="00E41881"/>
    <w:rsid w:val="00E46CA4"/>
    <w:rsid w:val="00E4705C"/>
    <w:rsid w:val="00E51116"/>
    <w:rsid w:val="00E524CD"/>
    <w:rsid w:val="00E52CB1"/>
    <w:rsid w:val="00E52DFD"/>
    <w:rsid w:val="00E546F2"/>
    <w:rsid w:val="00E562CB"/>
    <w:rsid w:val="00E56EAB"/>
    <w:rsid w:val="00E6064D"/>
    <w:rsid w:val="00E61271"/>
    <w:rsid w:val="00E627C5"/>
    <w:rsid w:val="00E6287D"/>
    <w:rsid w:val="00E648AA"/>
    <w:rsid w:val="00E65387"/>
    <w:rsid w:val="00E678A4"/>
    <w:rsid w:val="00E71253"/>
    <w:rsid w:val="00E72816"/>
    <w:rsid w:val="00E741B4"/>
    <w:rsid w:val="00E7538B"/>
    <w:rsid w:val="00E76457"/>
    <w:rsid w:val="00E818E2"/>
    <w:rsid w:val="00E84573"/>
    <w:rsid w:val="00E858EF"/>
    <w:rsid w:val="00E908B7"/>
    <w:rsid w:val="00E91A40"/>
    <w:rsid w:val="00E9293C"/>
    <w:rsid w:val="00EA0783"/>
    <w:rsid w:val="00EA1886"/>
    <w:rsid w:val="00EA2657"/>
    <w:rsid w:val="00EA2BA5"/>
    <w:rsid w:val="00EA39E1"/>
    <w:rsid w:val="00EA5BE8"/>
    <w:rsid w:val="00EB0FBB"/>
    <w:rsid w:val="00EB1995"/>
    <w:rsid w:val="00EB26E4"/>
    <w:rsid w:val="00EB6940"/>
    <w:rsid w:val="00EB6B5C"/>
    <w:rsid w:val="00EC0798"/>
    <w:rsid w:val="00EC1520"/>
    <w:rsid w:val="00EC26A8"/>
    <w:rsid w:val="00ED23A0"/>
    <w:rsid w:val="00ED2F51"/>
    <w:rsid w:val="00ED5994"/>
    <w:rsid w:val="00ED59E6"/>
    <w:rsid w:val="00EE024B"/>
    <w:rsid w:val="00EE412A"/>
    <w:rsid w:val="00EE7E62"/>
    <w:rsid w:val="00EF10DF"/>
    <w:rsid w:val="00EF1528"/>
    <w:rsid w:val="00EF7A9D"/>
    <w:rsid w:val="00F056DF"/>
    <w:rsid w:val="00F05C3D"/>
    <w:rsid w:val="00F076F2"/>
    <w:rsid w:val="00F07DC1"/>
    <w:rsid w:val="00F12615"/>
    <w:rsid w:val="00F14FF7"/>
    <w:rsid w:val="00F165AD"/>
    <w:rsid w:val="00F17B92"/>
    <w:rsid w:val="00F26DDB"/>
    <w:rsid w:val="00F27AC8"/>
    <w:rsid w:val="00F43B46"/>
    <w:rsid w:val="00F459DD"/>
    <w:rsid w:val="00F45E9D"/>
    <w:rsid w:val="00F51C0A"/>
    <w:rsid w:val="00F51F4E"/>
    <w:rsid w:val="00F54992"/>
    <w:rsid w:val="00F5549C"/>
    <w:rsid w:val="00F55EF0"/>
    <w:rsid w:val="00F574E8"/>
    <w:rsid w:val="00F61CA5"/>
    <w:rsid w:val="00F6640C"/>
    <w:rsid w:val="00F67F3D"/>
    <w:rsid w:val="00F75296"/>
    <w:rsid w:val="00F761A9"/>
    <w:rsid w:val="00F77987"/>
    <w:rsid w:val="00F77BCB"/>
    <w:rsid w:val="00F8210E"/>
    <w:rsid w:val="00F84274"/>
    <w:rsid w:val="00F872D5"/>
    <w:rsid w:val="00F87336"/>
    <w:rsid w:val="00F901F7"/>
    <w:rsid w:val="00F95F2F"/>
    <w:rsid w:val="00FA6D88"/>
    <w:rsid w:val="00FA7639"/>
    <w:rsid w:val="00FB7E88"/>
    <w:rsid w:val="00FC267E"/>
    <w:rsid w:val="00FC7117"/>
    <w:rsid w:val="00FC79E6"/>
    <w:rsid w:val="00FD051D"/>
    <w:rsid w:val="00FD2A15"/>
    <w:rsid w:val="00FD4016"/>
    <w:rsid w:val="00FD5201"/>
    <w:rsid w:val="00FD5D67"/>
    <w:rsid w:val="00FD67B7"/>
    <w:rsid w:val="00FD7D8C"/>
    <w:rsid w:val="00FF07B6"/>
    <w:rsid w:val="00FF0D90"/>
    <w:rsid w:val="00FF4C7B"/>
    <w:rsid w:val="00FF517C"/>
    <w:rsid w:val="00FF6767"/>
    <w:rsid w:val="00FF6E0F"/>
    <w:rsid w:val="00FF7F1A"/>
    <w:rsid w:val="1F789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1CCAB43"/>
  <w15:docId w15:val="{75AAC2C0-9224-4F1E-8CCD-4A8854C0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ind w:left="792"/>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800080" w:themeColor="followedHyperlink"/>
      <w:u w:val="single"/>
    </w:rPr>
  </w:style>
  <w:style w:type="paragraph" w:customStyle="1" w:styleId="PolicyBullets">
    <w:name w:val="Policy Bullets"/>
    <w:basedOn w:val="ListParagraph"/>
    <w:link w:val="PolicyBulletsChar"/>
    <w:qFormat/>
    <w:rsid w:val="002C4AE2"/>
    <w:pPr>
      <w:numPr>
        <w:numId w:val="6"/>
      </w:numPr>
      <w:spacing w:after="0"/>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3A6BAD"/>
    <w:pPr>
      <w:numPr>
        <w:numId w:val="0"/>
      </w:numPr>
      <w:ind w:left="1480" w:hanging="48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95425A"/>
    <w:pPr>
      <w:numPr>
        <w:numId w:val="8"/>
      </w:numPr>
      <w:spacing w:before="200"/>
      <w:jc w:val="both"/>
    </w:pPr>
  </w:style>
  <w:style w:type="paragraph" w:customStyle="1" w:styleId="TSB-Level2Numbers">
    <w:name w:val="TSB - Level 2 Numbers"/>
    <w:basedOn w:val="TSB-Level1Numbers"/>
    <w:autoRedefine/>
    <w:qFormat/>
    <w:rsid w:val="003A6BAD"/>
    <w:pPr>
      <w:ind w:left="1224" w:hanging="504"/>
    </w:pPr>
  </w:style>
  <w:style w:type="character" w:customStyle="1" w:styleId="TSB-PolicyBulletsChar">
    <w:name w:val="TSB - Policy Bullets Char"/>
    <w:basedOn w:val="ListParagraphChar"/>
    <w:link w:val="TSB-PolicyBullets"/>
    <w:rsid w:val="0095425A"/>
  </w:style>
  <w:style w:type="character" w:customStyle="1" w:styleId="TSB-Level1NumbersChar">
    <w:name w:val="TSB - Level 1 Numbers Char"/>
    <w:basedOn w:val="DefaultParagraphFont"/>
    <w:link w:val="TSB-Level1Numbers"/>
    <w:rsid w:val="003A6BAD"/>
    <w:rPr>
      <w:rFonts w:asciiTheme="majorHAnsi" w:hAnsiTheme="majorHAnsi" w:cstheme="minorHAnsi"/>
      <w:szCs w:val="32"/>
    </w:rPr>
  </w:style>
  <w:style w:type="table" w:customStyle="1" w:styleId="TableGrid2">
    <w:name w:val="Table Grid2"/>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C264D"/>
    <w:rPr>
      <w:color w:val="808080"/>
      <w:shd w:val="clear" w:color="auto" w:fill="E6E6E6"/>
    </w:rPr>
  </w:style>
  <w:style w:type="paragraph" w:customStyle="1" w:styleId="TableSubBullet">
    <w:name w:val="Table Sub Bullet"/>
    <w:basedOn w:val="Normal"/>
    <w:rsid w:val="00E562CB"/>
    <w:pPr>
      <w:numPr>
        <w:numId w:val="12"/>
      </w:numPr>
    </w:pPr>
  </w:style>
  <w:style w:type="paragraph" w:customStyle="1" w:styleId="Style3a">
    <w:name w:val="Style3a"/>
    <w:basedOn w:val="Style311"/>
    <w:rsid w:val="007F1221"/>
  </w:style>
  <w:style w:type="paragraph" w:customStyle="1" w:styleId="Style311">
    <w:name w:val="Style3.1.1"/>
    <w:basedOn w:val="Normal"/>
    <w:rsid w:val="007F1221"/>
    <w:pPr>
      <w:tabs>
        <w:tab w:val="num" w:pos="2126"/>
      </w:tabs>
      <w:overflowPunct w:val="0"/>
      <w:autoSpaceDE w:val="0"/>
      <w:autoSpaceDN w:val="0"/>
      <w:adjustRightInd w:val="0"/>
      <w:spacing w:after="120" w:line="240" w:lineRule="auto"/>
      <w:ind w:left="2126" w:hanging="708"/>
      <w:textAlignment w:val="baseline"/>
    </w:pPr>
    <w:rPr>
      <w:rFonts w:ascii="Arial" w:eastAsia="Times New Roman" w:hAnsi="Arial" w:cs="Arial"/>
      <w:bCs/>
      <w:szCs w:val="20"/>
      <w:lang w:val="en-US"/>
    </w:rPr>
  </w:style>
  <w:style w:type="paragraph" w:customStyle="1" w:styleId="Style4">
    <w:name w:val="Style4"/>
    <w:basedOn w:val="Normal"/>
    <w:rsid w:val="007F1221"/>
    <w:pPr>
      <w:widowControl w:val="0"/>
      <w:tabs>
        <w:tab w:val="num" w:pos="2835"/>
      </w:tabs>
      <w:overflowPunct w:val="0"/>
      <w:autoSpaceDE w:val="0"/>
      <w:autoSpaceDN w:val="0"/>
      <w:adjustRightInd w:val="0"/>
      <w:spacing w:after="120" w:line="240" w:lineRule="auto"/>
      <w:ind w:left="2835" w:hanging="709"/>
      <w:textAlignment w:val="baseline"/>
    </w:pPr>
    <w:rPr>
      <w:rFonts w:ascii="Arial" w:eastAsia="Times New Roman" w:hAnsi="Arial" w:cs="Times New Roman"/>
      <w:szCs w:val="20"/>
      <w:lang w:val="en-US"/>
    </w:rPr>
  </w:style>
  <w:style w:type="paragraph" w:customStyle="1" w:styleId="Style2a">
    <w:name w:val="Style2a"/>
    <w:basedOn w:val="Normal"/>
    <w:rsid w:val="007F1221"/>
    <w:pPr>
      <w:widowControl w:val="0"/>
      <w:tabs>
        <w:tab w:val="num" w:pos="1418"/>
      </w:tabs>
      <w:overflowPunct w:val="0"/>
      <w:autoSpaceDE w:val="0"/>
      <w:autoSpaceDN w:val="0"/>
      <w:adjustRightInd w:val="0"/>
      <w:spacing w:after="120" w:line="240" w:lineRule="auto"/>
      <w:ind w:left="1418" w:hanging="709"/>
      <w:textAlignment w:val="baseline"/>
    </w:pPr>
    <w:rPr>
      <w:rFonts w:ascii="Arial" w:eastAsia="Times New Roman" w:hAnsi="Arial" w:cs="Times New Roman"/>
      <w:szCs w:val="20"/>
      <w:lang w:val="en-US"/>
    </w:rPr>
  </w:style>
  <w:style w:type="paragraph" w:customStyle="1" w:styleId="Style4a">
    <w:name w:val="Style4a"/>
    <w:basedOn w:val="Style3a"/>
    <w:rsid w:val="007F1221"/>
    <w:pPr>
      <w:tabs>
        <w:tab w:val="clear" w:pos="2126"/>
        <w:tab w:val="num" w:pos="2835"/>
      </w:tabs>
      <w:ind w:left="2835" w:hanging="709"/>
    </w:pPr>
  </w:style>
  <w:style w:type="paragraph" w:styleId="TOCHeading">
    <w:name w:val="TOC Heading"/>
    <w:basedOn w:val="Heading10"/>
    <w:next w:val="Normal"/>
    <w:uiPriority w:val="39"/>
    <w:unhideWhenUsed/>
    <w:qFormat/>
    <w:rsid w:val="00E84573"/>
    <w:pPr>
      <w:keepNext/>
      <w:keepLines/>
      <w:numPr>
        <w:numId w:val="0"/>
      </w:numPr>
      <w:spacing w:before="240" w:after="0" w:line="259" w:lineRule="auto"/>
      <w:contextualSpacing w:val="0"/>
      <w:outlineLvl w:val="9"/>
    </w:pPr>
    <w:rPr>
      <w:rFonts w:eastAsiaTheme="majorEastAsia" w:cstheme="majorBidi"/>
      <w:color w:val="365F91" w:themeColor="accent1" w:themeShade="BF"/>
      <w:lang w:val="en-US"/>
    </w:rPr>
  </w:style>
  <w:style w:type="paragraph" w:styleId="TOC1">
    <w:name w:val="toc 1"/>
    <w:basedOn w:val="Normal"/>
    <w:next w:val="Normal"/>
    <w:autoRedefine/>
    <w:uiPriority w:val="39"/>
    <w:unhideWhenUsed/>
    <w:rsid w:val="00E84573"/>
    <w:pPr>
      <w:spacing w:after="100"/>
    </w:pPr>
  </w:style>
  <w:style w:type="paragraph" w:styleId="TOC3">
    <w:name w:val="toc 3"/>
    <w:basedOn w:val="Normal"/>
    <w:next w:val="Normal"/>
    <w:autoRedefine/>
    <w:uiPriority w:val="39"/>
    <w:unhideWhenUsed/>
    <w:rsid w:val="00E84573"/>
    <w:pPr>
      <w:spacing w:after="100"/>
      <w:ind w:left="440"/>
    </w:pPr>
  </w:style>
  <w:style w:type="paragraph" w:styleId="TOC2">
    <w:name w:val="toc 2"/>
    <w:basedOn w:val="Normal"/>
    <w:next w:val="Normal"/>
    <w:autoRedefine/>
    <w:uiPriority w:val="39"/>
    <w:unhideWhenUsed/>
    <w:rsid w:val="00227E6E"/>
    <w:pPr>
      <w:spacing w:after="100"/>
      <w:ind w:left="220"/>
    </w:pPr>
  </w:style>
  <w:style w:type="paragraph" w:styleId="TOC4">
    <w:name w:val="toc 4"/>
    <w:basedOn w:val="Normal"/>
    <w:next w:val="Normal"/>
    <w:autoRedefine/>
    <w:uiPriority w:val="39"/>
    <w:unhideWhenUsed/>
    <w:rsid w:val="00227E6E"/>
    <w:pPr>
      <w:spacing w:after="100" w:line="259" w:lineRule="auto"/>
      <w:ind w:left="660"/>
    </w:pPr>
    <w:rPr>
      <w:rFonts w:eastAsiaTheme="minorEastAsia"/>
      <w:lang w:eastAsia="en-GB"/>
    </w:rPr>
  </w:style>
  <w:style w:type="paragraph" w:styleId="TOC5">
    <w:name w:val="toc 5"/>
    <w:basedOn w:val="Normal"/>
    <w:next w:val="Normal"/>
    <w:autoRedefine/>
    <w:uiPriority w:val="39"/>
    <w:unhideWhenUsed/>
    <w:rsid w:val="00227E6E"/>
    <w:pPr>
      <w:spacing w:after="100" w:line="259" w:lineRule="auto"/>
      <w:ind w:left="880"/>
    </w:pPr>
    <w:rPr>
      <w:rFonts w:eastAsiaTheme="minorEastAsia"/>
      <w:lang w:eastAsia="en-GB"/>
    </w:rPr>
  </w:style>
  <w:style w:type="paragraph" w:styleId="TOC6">
    <w:name w:val="toc 6"/>
    <w:basedOn w:val="Normal"/>
    <w:next w:val="Normal"/>
    <w:autoRedefine/>
    <w:uiPriority w:val="39"/>
    <w:unhideWhenUsed/>
    <w:rsid w:val="00227E6E"/>
    <w:pPr>
      <w:spacing w:after="100" w:line="259" w:lineRule="auto"/>
      <w:ind w:left="1100"/>
    </w:pPr>
    <w:rPr>
      <w:rFonts w:eastAsiaTheme="minorEastAsia"/>
      <w:lang w:eastAsia="en-GB"/>
    </w:rPr>
  </w:style>
  <w:style w:type="paragraph" w:styleId="TOC7">
    <w:name w:val="toc 7"/>
    <w:basedOn w:val="Normal"/>
    <w:next w:val="Normal"/>
    <w:autoRedefine/>
    <w:uiPriority w:val="39"/>
    <w:unhideWhenUsed/>
    <w:rsid w:val="00227E6E"/>
    <w:pPr>
      <w:spacing w:after="100" w:line="259" w:lineRule="auto"/>
      <w:ind w:left="1320"/>
    </w:pPr>
    <w:rPr>
      <w:rFonts w:eastAsiaTheme="minorEastAsia"/>
      <w:lang w:eastAsia="en-GB"/>
    </w:rPr>
  </w:style>
  <w:style w:type="paragraph" w:styleId="TOC8">
    <w:name w:val="toc 8"/>
    <w:basedOn w:val="Normal"/>
    <w:next w:val="Normal"/>
    <w:autoRedefine/>
    <w:uiPriority w:val="39"/>
    <w:unhideWhenUsed/>
    <w:rsid w:val="00227E6E"/>
    <w:pPr>
      <w:spacing w:after="100" w:line="259" w:lineRule="auto"/>
      <w:ind w:left="1540"/>
    </w:pPr>
    <w:rPr>
      <w:rFonts w:eastAsiaTheme="minorEastAsia"/>
      <w:lang w:eastAsia="en-GB"/>
    </w:rPr>
  </w:style>
  <w:style w:type="paragraph" w:styleId="TOC9">
    <w:name w:val="toc 9"/>
    <w:basedOn w:val="Normal"/>
    <w:next w:val="Normal"/>
    <w:autoRedefine/>
    <w:uiPriority w:val="39"/>
    <w:unhideWhenUsed/>
    <w:rsid w:val="00227E6E"/>
    <w:pPr>
      <w:spacing w:after="100" w:line="259" w:lineRule="auto"/>
      <w:ind w:left="1760"/>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D92A56"/>
    <w:rsid w:val="00D92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62F3D-B866-468B-AAEE-D952064A8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3538</Words>
  <Characters>20172</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Bernsmeier-Rullow</dc:creator>
  <cp:lastModifiedBy>Mandy Ramsey</cp:lastModifiedBy>
  <cp:revision>2</cp:revision>
  <dcterms:created xsi:type="dcterms:W3CDTF">2020-01-29T08:00:00Z</dcterms:created>
  <dcterms:modified xsi:type="dcterms:W3CDTF">2020-01-29T08:00:00Z</dcterms:modified>
</cp:coreProperties>
</file>