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2F2F30" w:themeColor="accent1" w:themeShade="BF"/>
          <w:sz w:val="80"/>
          <w:szCs w:val="80"/>
        </w:rPr>
      </w:sdtEndPr>
      <w:sdtContent>
        <w:p w:rsidR="00F07361" w:rsidRDefault="00F07361" w:rsidP="000E1307">
          <w:pPr>
            <w:jc w:val="center"/>
            <w:rPr>
              <w:rFonts w:eastAsiaTheme="minorEastAsia"/>
              <w:b/>
              <w:sz w:val="32"/>
              <w:lang w:val="en-US" w:eastAsia="ja-JP"/>
            </w:rPr>
          </w:pPr>
        </w:p>
        <w:p w:rsidR="0066208C" w:rsidRPr="007A43E3" w:rsidRDefault="0066208C" w:rsidP="000E1307">
          <w:pPr>
            <w:jc w:val="center"/>
          </w:pPr>
        </w:p>
        <w:p w:rsidR="00F07361" w:rsidRDefault="00F0736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FE35A9" w:rsidP="000E1307">
          <w:pPr>
            <w:jc w:val="center"/>
            <w:rPr>
              <w:rFonts w:eastAsiaTheme="minorEastAsia"/>
              <w:b/>
              <w:sz w:val="32"/>
              <w:lang w:val="en-US" w:eastAsia="ja-JP"/>
            </w:rPr>
          </w:pPr>
          <w:r>
            <w:rPr>
              <w:noProof/>
              <w:lang w:eastAsia="en-GB"/>
            </w:rPr>
            <w:drawing>
              <wp:anchor distT="0" distB="0" distL="114300" distR="114300" simplePos="0" relativeHeight="251662336" behindDoc="1" locked="0" layoutInCell="1" allowOverlap="1" wp14:anchorId="7884ECF1" wp14:editId="1E82DA5B">
                <wp:simplePos x="0" y="0"/>
                <wp:positionH relativeFrom="margin">
                  <wp:align>center</wp:align>
                </wp:positionH>
                <wp:positionV relativeFrom="margin">
                  <wp:posOffset>1328420</wp:posOffset>
                </wp:positionV>
                <wp:extent cx="3920490" cy="1139190"/>
                <wp:effectExtent l="0" t="0" r="3810" b="3810"/>
                <wp:wrapNone/>
                <wp:docPr id="18" name="Picture 18"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307" w:rsidRDefault="000E1307" w:rsidP="000E1307">
          <w:pPr>
            <w:jc w:val="center"/>
            <w:rPr>
              <w:rFonts w:eastAsiaTheme="minorEastAsia"/>
              <w:b/>
              <w:sz w:val="32"/>
              <w:lang w:val="en-US" w:eastAsia="ja-JP"/>
            </w:rPr>
          </w:pPr>
        </w:p>
        <w:p w:rsidR="00BB5571" w:rsidRDefault="00BB5571"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0E1307" w:rsidRDefault="000E1307" w:rsidP="0068728F">
          <w:pPr>
            <w:jc w:val="both"/>
            <w:rPr>
              <w:rFonts w:eastAsiaTheme="minorEastAsia"/>
              <w:b/>
              <w:sz w:val="32"/>
              <w:lang w:val="en-US" w:eastAsia="ja-JP"/>
            </w:rPr>
          </w:pPr>
        </w:p>
        <w:p w:rsidR="00F07361" w:rsidRDefault="00F07361" w:rsidP="0068728F">
          <w:pPr>
            <w:jc w:val="both"/>
            <w:rPr>
              <w:rFonts w:eastAsiaTheme="minorEastAsia"/>
              <w:b/>
              <w:sz w:val="32"/>
              <w:lang w:val="en-US" w:eastAsia="ja-JP"/>
            </w:rPr>
          </w:pPr>
        </w:p>
        <w:p w:rsidR="00BB5571" w:rsidRDefault="00BB5571" w:rsidP="0068728F">
          <w:pPr>
            <w:jc w:val="both"/>
            <w:rPr>
              <w:rFonts w:eastAsiaTheme="minorEastAsia"/>
              <w:b/>
              <w:sz w:val="32"/>
              <w:lang w:val="en-US" w:eastAsia="ja-JP"/>
            </w:rPr>
          </w:pPr>
        </w:p>
        <w:p w:rsidR="00253BCA" w:rsidRPr="001A4BE7" w:rsidRDefault="00253BCA" w:rsidP="00682C2E">
          <w:pPr>
            <w:jc w:val="center"/>
            <w:rPr>
              <w:rFonts w:eastAsiaTheme="majorEastAsia" w:cs="Arial"/>
              <w:color w:val="000000" w:themeColor="text1"/>
              <w:sz w:val="28"/>
              <w:szCs w:val="28"/>
              <w:lang w:eastAsia="ja-JP"/>
            </w:rPr>
          </w:pPr>
        </w:p>
        <w:p w:rsidR="0066208C" w:rsidRDefault="00715F3F" w:rsidP="00682C2E">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Premises Management Policy</w:t>
          </w:r>
        </w:p>
        <w:p w:rsidR="0066208C" w:rsidRDefault="0066208C" w:rsidP="00682C2E">
          <w:pPr>
            <w:pBdr>
              <w:bottom w:val="single" w:sz="4" w:space="1" w:color="auto"/>
            </w:pBdr>
            <w:jc w:val="center"/>
            <w:rPr>
              <w:rFonts w:eastAsiaTheme="majorEastAsia"/>
              <w:sz w:val="72"/>
              <w:szCs w:val="80"/>
              <w:lang w:val="en-US" w:eastAsia="ja-JP"/>
            </w:rPr>
          </w:pPr>
        </w:p>
        <w:p w:rsidR="0066208C" w:rsidRDefault="0066208C" w:rsidP="00682C2E">
          <w:pPr>
            <w:pBdr>
              <w:bottom w:val="single" w:sz="4" w:space="1" w:color="auto"/>
            </w:pBdr>
            <w:jc w:val="center"/>
            <w:rPr>
              <w:rFonts w:eastAsiaTheme="majorEastAsia"/>
              <w:sz w:val="72"/>
              <w:szCs w:val="80"/>
              <w:lang w:val="en-US" w:eastAsia="ja-JP"/>
            </w:rPr>
          </w:pPr>
        </w:p>
        <w:p w:rsidR="00F07361" w:rsidRDefault="00CC115A" w:rsidP="00682C2E">
          <w:pPr>
            <w:pBdr>
              <w:bottom w:val="single" w:sz="4" w:space="1" w:color="auto"/>
            </w:pBdr>
            <w:jc w:val="center"/>
            <w:rPr>
              <w:rFonts w:eastAsiaTheme="majorEastAsia" w:cs="Arial"/>
              <w:color w:val="000000" w:themeColor="text1"/>
              <w:sz w:val="72"/>
              <w:szCs w:val="80"/>
              <w:lang w:eastAsia="ja-JP"/>
            </w:rPr>
            <w:sectPr w:rsidR="00F07361" w:rsidSect="0066208C">
              <w:headerReference w:type="even" r:id="rId9"/>
              <w:headerReference w:type="default" r:id="rId10"/>
              <w:footerReference w:type="default" r:id="rId11"/>
              <w:headerReference w:type="first" r:id="rId12"/>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sdtContent>
    </w:sdt>
    <w:p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rsidR="0055675B" w:rsidRPr="007D26DA" w:rsidRDefault="00243C32" w:rsidP="0068728F">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A21683" w:rsidRPr="007D26DA">
        <w:rPr>
          <w:rFonts w:asciiTheme="minorHAnsi" w:hAnsiTheme="minorHAnsi" w:cstheme="minorHAnsi"/>
        </w:rPr>
        <w:instrText>HYPERLINK  \l "statement"</w:instrText>
      </w:r>
      <w:r w:rsidRPr="007D26DA">
        <w:rPr>
          <w:rFonts w:asciiTheme="minorHAnsi" w:hAnsiTheme="minorHAnsi" w:cstheme="minorHAnsi"/>
        </w:rPr>
        <w:fldChar w:fldCharType="separate"/>
      </w:r>
      <w:r w:rsidR="0055675B" w:rsidRPr="007D26DA">
        <w:rPr>
          <w:rStyle w:val="Hyperlink"/>
          <w:rFonts w:asciiTheme="minorHAnsi" w:hAnsiTheme="minorHAnsi" w:cstheme="minorHAnsi"/>
        </w:rPr>
        <w:t>Statement of intent</w:t>
      </w:r>
    </w:p>
    <w:p w:rsidR="0055675B" w:rsidRPr="00D938D5" w:rsidRDefault="00243C32" w:rsidP="0068728F">
      <w:pPr>
        <w:pStyle w:val="ListParagraph"/>
        <w:numPr>
          <w:ilvl w:val="0"/>
          <w:numId w:val="1"/>
        </w:numPr>
        <w:spacing w:before="120" w:after="120" w:line="320" w:lineRule="exact"/>
        <w:ind w:left="720"/>
        <w:jc w:val="both"/>
      </w:pPr>
      <w:r w:rsidRPr="007D26DA">
        <w:rPr>
          <w:rFonts w:cstheme="minorHAnsi"/>
        </w:rPr>
        <w:fldChar w:fldCharType="end"/>
      </w:r>
      <w:hyperlink w:anchor="_Legal_framework" w:history="1">
        <w:r w:rsidR="00D40F25" w:rsidRPr="00D40F25">
          <w:rPr>
            <w:rStyle w:val="Hyperlink"/>
            <w:rFonts w:cstheme="minorHAnsi"/>
          </w:rPr>
          <w:t>Legal framework</w:t>
        </w:r>
      </w:hyperlink>
      <w:r w:rsidR="007D26DA" w:rsidRPr="00D938D5">
        <w:t xml:space="preserve"> </w:t>
      </w:r>
    </w:p>
    <w:p w:rsidR="0055675B" w:rsidRPr="007D26DA" w:rsidRDefault="00CC115A" w:rsidP="0068728F">
      <w:pPr>
        <w:pStyle w:val="ListParagraph"/>
        <w:numPr>
          <w:ilvl w:val="0"/>
          <w:numId w:val="1"/>
        </w:numPr>
        <w:spacing w:before="120" w:after="120" w:line="320" w:lineRule="exact"/>
        <w:ind w:left="720"/>
        <w:jc w:val="both"/>
        <w:rPr>
          <w:rStyle w:val="Hyperlink"/>
          <w:color w:val="000000" w:themeColor="text1"/>
          <w:u w:val="none"/>
        </w:rPr>
      </w:pPr>
      <w:hyperlink w:anchor="_Key_responsibilities" w:history="1">
        <w:r w:rsidR="00D40F25" w:rsidRPr="00D40F25">
          <w:rPr>
            <w:rStyle w:val="Hyperlink"/>
          </w:rPr>
          <w:t>Key responsibilities</w:t>
        </w:r>
      </w:hyperlink>
    </w:p>
    <w:p w:rsidR="007D26DA" w:rsidRPr="007D26DA" w:rsidRDefault="007D26DA" w:rsidP="0068728F">
      <w:pPr>
        <w:pStyle w:val="ListParagraph"/>
        <w:numPr>
          <w:ilvl w:val="0"/>
          <w:numId w:val="1"/>
        </w:numPr>
        <w:spacing w:before="120" w:after="120" w:line="320" w:lineRule="exact"/>
        <w:ind w:left="720"/>
        <w:jc w:val="both"/>
        <w:rPr>
          <w:rStyle w:val="Hyperlink"/>
        </w:rPr>
      </w:pPr>
      <w:r>
        <w:rPr>
          <w:color w:val="000000" w:themeColor="text1"/>
        </w:rPr>
        <w:fldChar w:fldCharType="begin"/>
      </w:r>
      <w:r w:rsidR="00D40F25">
        <w:rPr>
          <w:color w:val="000000" w:themeColor="text1"/>
        </w:rPr>
        <w:instrText>HYPERLINK  \l "_Asbestos"</w:instrText>
      </w:r>
      <w:r>
        <w:rPr>
          <w:color w:val="000000" w:themeColor="text1"/>
        </w:rPr>
        <w:fldChar w:fldCharType="separate"/>
      </w:r>
      <w:r w:rsidR="00D40F25">
        <w:rPr>
          <w:rStyle w:val="Hyperlink"/>
        </w:rPr>
        <w:t>Asbestos</w:t>
      </w:r>
    </w:p>
    <w:p w:rsidR="007F701D" w:rsidRPr="007D26DA" w:rsidRDefault="007D26DA" w:rsidP="0068728F">
      <w:pPr>
        <w:pStyle w:val="ListParagraph"/>
        <w:numPr>
          <w:ilvl w:val="0"/>
          <w:numId w:val="1"/>
        </w:numPr>
        <w:spacing w:before="120" w:after="120" w:line="320" w:lineRule="exact"/>
        <w:ind w:left="720"/>
        <w:jc w:val="both"/>
        <w:rPr>
          <w:rStyle w:val="Hyperlink"/>
          <w:color w:val="000000" w:themeColor="text1"/>
          <w:u w:val="none"/>
        </w:rPr>
      </w:pPr>
      <w:r>
        <w:rPr>
          <w:color w:val="000000" w:themeColor="text1"/>
        </w:rPr>
        <w:fldChar w:fldCharType="end"/>
      </w:r>
      <w:hyperlink w:anchor="_Water_supply" w:history="1">
        <w:r w:rsidR="00D40F25" w:rsidRPr="00D40F25">
          <w:rPr>
            <w:rStyle w:val="Hyperlink"/>
          </w:rPr>
          <w:t>Water supply</w:t>
        </w:r>
      </w:hyperlink>
    </w:p>
    <w:p w:rsidR="007D26DA" w:rsidRPr="00D40F25" w:rsidRDefault="00CC115A" w:rsidP="007D26DA">
      <w:pPr>
        <w:pStyle w:val="ListParagraph"/>
        <w:numPr>
          <w:ilvl w:val="0"/>
          <w:numId w:val="1"/>
        </w:numPr>
        <w:spacing w:before="120" w:after="120" w:line="320" w:lineRule="exact"/>
        <w:ind w:left="720"/>
        <w:jc w:val="both"/>
        <w:rPr>
          <w:color w:val="000000" w:themeColor="text1"/>
        </w:rPr>
      </w:pPr>
      <w:hyperlink w:anchor="_T_oilet_and" w:history="1">
        <w:r w:rsidR="00D40F25" w:rsidRPr="00D40F25">
          <w:rPr>
            <w:rStyle w:val="Hyperlink"/>
          </w:rPr>
          <w:t>Toilet and washing facilities</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P_upils_with" w:history="1">
        <w:r w:rsidR="00D40F25" w:rsidRPr="00D40F25">
          <w:rPr>
            <w:rStyle w:val="Hyperlink"/>
          </w:rPr>
          <w:t>Pupils with SEND</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Drainage" w:history="1">
        <w:r w:rsidR="00D40F25" w:rsidRPr="00D40F25">
          <w:rPr>
            <w:rStyle w:val="Hyperlink"/>
          </w:rPr>
          <w:t>Drainage</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Lighting" w:history="1">
        <w:r w:rsidR="00D40F25" w:rsidRPr="00D40F25">
          <w:rPr>
            <w:rStyle w:val="Hyperlink"/>
          </w:rPr>
          <w:t>Lighting</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Security" w:history="1">
        <w:r w:rsidR="00D40F25" w:rsidRPr="00D40F25">
          <w:rPr>
            <w:rStyle w:val="Hyperlink"/>
          </w:rPr>
          <w:t>Security</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Lettings" w:history="1">
        <w:r w:rsidR="00D40F25" w:rsidRPr="00D40F25">
          <w:rPr>
            <w:rStyle w:val="Hyperlink"/>
          </w:rPr>
          <w:t>Lettings</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Weather" w:history="1">
        <w:r w:rsidR="00D40F25" w:rsidRPr="00D40F25">
          <w:rPr>
            <w:rStyle w:val="Hyperlink"/>
          </w:rPr>
          <w:t>Weather</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Evacuations" w:history="1">
        <w:r w:rsidR="00D40F25" w:rsidRPr="00D40F25">
          <w:rPr>
            <w:rStyle w:val="Hyperlink"/>
          </w:rPr>
          <w:t>Evacuations</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Accessibility" w:history="1">
        <w:r w:rsidR="00D40F25" w:rsidRPr="00D40F25">
          <w:rPr>
            <w:rStyle w:val="Hyperlink"/>
          </w:rPr>
          <w:t>Accessibility</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Suitability" w:history="1">
        <w:r w:rsidR="00D40F25" w:rsidRPr="00D40F25">
          <w:rPr>
            <w:rStyle w:val="Hyperlink"/>
          </w:rPr>
          <w:t>Suitability</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Welfare" w:history="1">
        <w:r w:rsidR="00D40F25" w:rsidRPr="00D40F25">
          <w:rPr>
            <w:rStyle w:val="Hyperlink"/>
          </w:rPr>
          <w:t>Welfare</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F_ire_safety" w:history="1">
        <w:r w:rsidR="00D40F25" w:rsidRPr="00D40F25">
          <w:rPr>
            <w:rStyle w:val="Hyperlink"/>
          </w:rPr>
          <w:t>Fire safety</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Catering" w:history="1">
        <w:r w:rsidR="00D40F25" w:rsidRPr="00D40F25">
          <w:rPr>
            <w:rStyle w:val="Hyperlink"/>
          </w:rPr>
          <w:t>Catering</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Cleaning" w:history="1">
        <w:r w:rsidR="00D40F25" w:rsidRPr="00D40F25">
          <w:rPr>
            <w:rStyle w:val="Hyperlink"/>
          </w:rPr>
          <w:t>Cleaning</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A_coustics" w:history="1">
        <w:r w:rsidR="00D40F25" w:rsidRPr="00D40F25">
          <w:rPr>
            <w:rStyle w:val="Hyperlink"/>
          </w:rPr>
          <w:t>Acoustics</w:t>
        </w:r>
      </w:hyperlink>
    </w:p>
    <w:p w:rsidR="00D40F25" w:rsidRPr="00D40F25" w:rsidRDefault="00CC115A" w:rsidP="007D26DA">
      <w:pPr>
        <w:pStyle w:val="ListParagraph"/>
        <w:numPr>
          <w:ilvl w:val="0"/>
          <w:numId w:val="1"/>
        </w:numPr>
        <w:spacing w:before="120" w:after="120" w:line="320" w:lineRule="exact"/>
        <w:ind w:left="720"/>
        <w:jc w:val="both"/>
        <w:rPr>
          <w:color w:val="000000" w:themeColor="text1"/>
        </w:rPr>
      </w:pPr>
      <w:hyperlink w:anchor="_Mechanical_services" w:history="1">
        <w:r w:rsidR="00D40F25" w:rsidRPr="00D40F25">
          <w:rPr>
            <w:rStyle w:val="Hyperlink"/>
          </w:rPr>
          <w:t>Mechanical services</w:t>
        </w:r>
      </w:hyperlink>
    </w:p>
    <w:p w:rsidR="00D40F25" w:rsidRDefault="00CC115A" w:rsidP="007D26DA">
      <w:pPr>
        <w:pStyle w:val="ListParagraph"/>
        <w:numPr>
          <w:ilvl w:val="0"/>
          <w:numId w:val="1"/>
        </w:numPr>
        <w:spacing w:before="120" w:after="120" w:line="320" w:lineRule="exact"/>
        <w:ind w:left="720"/>
        <w:jc w:val="both"/>
        <w:rPr>
          <w:color w:val="000000" w:themeColor="text1"/>
        </w:rPr>
      </w:pPr>
      <w:hyperlink w:anchor="_Maintenance" w:history="1">
        <w:r w:rsidR="00D40F25" w:rsidRPr="00D40F25">
          <w:rPr>
            <w:rStyle w:val="Hyperlink"/>
          </w:rPr>
          <w:t>Maintenance</w:t>
        </w:r>
      </w:hyperlink>
    </w:p>
    <w:p w:rsidR="00D40F25" w:rsidRDefault="00CC115A" w:rsidP="007D26DA">
      <w:pPr>
        <w:pStyle w:val="ListParagraph"/>
        <w:numPr>
          <w:ilvl w:val="0"/>
          <w:numId w:val="1"/>
        </w:numPr>
        <w:spacing w:before="120" w:after="120" w:line="320" w:lineRule="exact"/>
        <w:ind w:left="720"/>
        <w:jc w:val="both"/>
        <w:rPr>
          <w:color w:val="000000" w:themeColor="text1"/>
        </w:rPr>
      </w:pPr>
      <w:hyperlink w:anchor="_Furnishings" w:history="1">
        <w:r w:rsidR="00D40F25" w:rsidRPr="003479CE">
          <w:rPr>
            <w:rStyle w:val="Hyperlink"/>
          </w:rPr>
          <w:t>Furnishings</w:t>
        </w:r>
      </w:hyperlink>
    </w:p>
    <w:p w:rsidR="00D40F25" w:rsidRDefault="00CC115A" w:rsidP="007D26DA">
      <w:pPr>
        <w:pStyle w:val="ListParagraph"/>
        <w:numPr>
          <w:ilvl w:val="0"/>
          <w:numId w:val="1"/>
        </w:numPr>
        <w:spacing w:before="120" w:after="120" w:line="320" w:lineRule="exact"/>
        <w:ind w:left="720"/>
        <w:jc w:val="both"/>
        <w:rPr>
          <w:color w:val="000000" w:themeColor="text1"/>
        </w:rPr>
      </w:pPr>
      <w:hyperlink w:anchor="_P_laying_fields" w:history="1">
        <w:r w:rsidR="00D40F25" w:rsidRPr="003479CE">
          <w:rPr>
            <w:rStyle w:val="Hyperlink"/>
          </w:rPr>
          <w:t>Playing fields</w:t>
        </w:r>
      </w:hyperlink>
    </w:p>
    <w:p w:rsidR="00D40F25" w:rsidRDefault="00CC115A" w:rsidP="007D26DA">
      <w:pPr>
        <w:pStyle w:val="ListParagraph"/>
        <w:numPr>
          <w:ilvl w:val="0"/>
          <w:numId w:val="1"/>
        </w:numPr>
        <w:spacing w:before="120" w:after="120" w:line="320" w:lineRule="exact"/>
        <w:ind w:left="720"/>
        <w:jc w:val="both"/>
        <w:rPr>
          <w:color w:val="000000" w:themeColor="text1"/>
        </w:rPr>
      </w:pPr>
      <w:hyperlink w:anchor="_Grounds" w:history="1">
        <w:r w:rsidR="00D40F25" w:rsidRPr="003479CE">
          <w:rPr>
            <w:rStyle w:val="Hyperlink"/>
          </w:rPr>
          <w:t>Grounds</w:t>
        </w:r>
      </w:hyperlink>
    </w:p>
    <w:p w:rsidR="00D40F25" w:rsidRDefault="00CC115A" w:rsidP="007D26DA">
      <w:pPr>
        <w:pStyle w:val="ListParagraph"/>
        <w:numPr>
          <w:ilvl w:val="0"/>
          <w:numId w:val="1"/>
        </w:numPr>
        <w:spacing w:before="120" w:after="120" w:line="320" w:lineRule="exact"/>
        <w:ind w:left="720"/>
        <w:jc w:val="both"/>
        <w:rPr>
          <w:color w:val="000000" w:themeColor="text1"/>
        </w:rPr>
      </w:pPr>
      <w:hyperlink w:anchor="_Health_and_safety" w:history="1">
        <w:r w:rsidR="00D40F25" w:rsidRPr="003479CE">
          <w:rPr>
            <w:rStyle w:val="Hyperlink"/>
          </w:rPr>
          <w:t>Health and safety audit</w:t>
        </w:r>
      </w:hyperlink>
    </w:p>
    <w:p w:rsidR="00D40F25" w:rsidRPr="007D26DA" w:rsidRDefault="00CC115A" w:rsidP="007D26DA">
      <w:pPr>
        <w:pStyle w:val="ListParagraph"/>
        <w:numPr>
          <w:ilvl w:val="0"/>
          <w:numId w:val="1"/>
        </w:numPr>
        <w:spacing w:before="120" w:after="120" w:line="320" w:lineRule="exact"/>
        <w:ind w:left="720"/>
        <w:jc w:val="both"/>
        <w:rPr>
          <w:color w:val="000000" w:themeColor="text1"/>
        </w:rPr>
      </w:pPr>
      <w:hyperlink w:anchor="_Encountering_peafowl" w:history="1">
        <w:r w:rsidR="00D40F25" w:rsidRPr="003479CE">
          <w:rPr>
            <w:rStyle w:val="Hyperlink"/>
          </w:rPr>
          <w:t>Policy review</w:t>
        </w:r>
      </w:hyperlink>
    </w:p>
    <w:p w:rsidR="002F6E9B" w:rsidRDefault="0055675B" w:rsidP="002F6E9B">
      <w:pPr>
        <w:spacing w:before="120" w:after="120" w:line="320" w:lineRule="exact"/>
        <w:ind w:left="360"/>
        <w:jc w:val="both"/>
      </w:pPr>
      <w:r w:rsidRPr="00BB2011">
        <w:t>Appendi</w:t>
      </w:r>
      <w:r w:rsidR="002F6E9B">
        <w:t>ces</w:t>
      </w:r>
    </w:p>
    <w:p w:rsidR="002F6E9B" w:rsidRPr="002F6E9B" w:rsidRDefault="00CC115A" w:rsidP="002F6E9B">
      <w:pPr>
        <w:pStyle w:val="ListParagraph"/>
        <w:numPr>
          <w:ilvl w:val="0"/>
          <w:numId w:val="32"/>
        </w:numPr>
        <w:spacing w:before="120" w:after="120" w:line="320" w:lineRule="exact"/>
        <w:jc w:val="both"/>
        <w:rPr>
          <w:rStyle w:val="Hyperlink"/>
          <w:color w:val="auto"/>
          <w:u w:val="none"/>
        </w:rPr>
      </w:pPr>
      <w:hyperlink w:anchor="a" w:history="1">
        <w:r w:rsidR="003479CE" w:rsidRPr="003479CE">
          <w:rPr>
            <w:rStyle w:val="Hyperlink"/>
          </w:rPr>
          <w:t xml:space="preserve">Health and </w:t>
        </w:r>
        <w:r w:rsidR="002F6E9B">
          <w:rPr>
            <w:rStyle w:val="Hyperlink"/>
          </w:rPr>
          <w:t>S</w:t>
        </w:r>
        <w:r w:rsidR="003479CE" w:rsidRPr="003479CE">
          <w:rPr>
            <w:rStyle w:val="Hyperlink"/>
          </w:rPr>
          <w:t xml:space="preserve">afety </w:t>
        </w:r>
        <w:r w:rsidR="002F6E9B">
          <w:rPr>
            <w:rStyle w:val="Hyperlink"/>
          </w:rPr>
          <w:t>A</w:t>
        </w:r>
        <w:r w:rsidR="003479CE" w:rsidRPr="003479CE">
          <w:rPr>
            <w:rStyle w:val="Hyperlink"/>
          </w:rPr>
          <w:t>udit</w:t>
        </w:r>
      </w:hyperlink>
    </w:p>
    <w:p w:rsidR="003479CE" w:rsidRPr="00D938D5" w:rsidRDefault="00CC115A" w:rsidP="002F6E9B">
      <w:pPr>
        <w:pStyle w:val="ListParagraph"/>
        <w:numPr>
          <w:ilvl w:val="0"/>
          <w:numId w:val="32"/>
        </w:numPr>
        <w:spacing w:before="120" w:after="120" w:line="320" w:lineRule="exact"/>
        <w:jc w:val="both"/>
      </w:pPr>
      <w:hyperlink w:anchor="b" w:history="1">
        <w:r w:rsidR="003479CE" w:rsidRPr="003479CE">
          <w:rPr>
            <w:rStyle w:val="Hyperlink"/>
          </w:rPr>
          <w:t xml:space="preserve">Asbestos </w:t>
        </w:r>
        <w:r w:rsidR="002F6E9B">
          <w:rPr>
            <w:rStyle w:val="Hyperlink"/>
          </w:rPr>
          <w:t>M</w:t>
        </w:r>
        <w:r w:rsidR="003479CE" w:rsidRPr="003479CE">
          <w:rPr>
            <w:rStyle w:val="Hyperlink"/>
          </w:rPr>
          <w:t xml:space="preserve">anagement </w:t>
        </w:r>
        <w:r w:rsidR="002F6E9B">
          <w:rPr>
            <w:rStyle w:val="Hyperlink"/>
          </w:rPr>
          <w:t>C</w:t>
        </w:r>
        <w:r w:rsidR="003479CE" w:rsidRPr="003479CE">
          <w:rPr>
            <w:rStyle w:val="Hyperlink"/>
          </w:rPr>
          <w:t>hecklist</w:t>
        </w:r>
      </w:hyperlink>
    </w:p>
    <w:p w:rsidR="0055675B" w:rsidRDefault="0055675B" w:rsidP="0068728F">
      <w:pPr>
        <w:jc w:val="both"/>
      </w:pPr>
      <w:bookmarkStart w:id="0" w:name="_Statement_of_intent"/>
      <w:bookmarkEnd w:id="0"/>
    </w:p>
    <w:p w:rsidR="0055675B" w:rsidRDefault="0055675B" w:rsidP="007D26DA">
      <w:pPr>
        <w:pStyle w:val="Heading10"/>
        <w:sectPr w:rsidR="0055675B" w:rsidSect="003479CE">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lastRenderedPageBreak/>
        <w:t>Statement of intent</w:t>
      </w:r>
    </w:p>
    <w:bookmarkEnd w:id="1"/>
    <w:bookmarkEnd w:id="2"/>
    <w:p w:rsidR="0055675B" w:rsidRPr="004A73EB" w:rsidRDefault="0055675B" w:rsidP="0068728F">
      <w:pPr>
        <w:jc w:val="both"/>
        <w:rPr>
          <w:sz w:val="2"/>
        </w:rPr>
      </w:pPr>
    </w:p>
    <w:p w:rsidR="009D73FA" w:rsidRDefault="00FE35A9" w:rsidP="009D73FA">
      <w:pPr>
        <w:jc w:val="both"/>
      </w:pPr>
      <w:r w:rsidRPr="00FE35A9">
        <w:t>Tor School</w:t>
      </w:r>
      <w:r w:rsidR="009D73FA">
        <w:t xml:space="preserve"> has a duty to ensure that buildings under their control comply with the statutory and regulatory standards. The school needs to consider the </w:t>
      </w:r>
      <w:r w:rsidR="00137F78">
        <w:t>building’s</w:t>
      </w:r>
      <w:r w:rsidR="009D73FA">
        <w:t>:</w:t>
      </w:r>
    </w:p>
    <w:p w:rsidR="009D73FA" w:rsidRDefault="009D73FA" w:rsidP="009D73FA">
      <w:pPr>
        <w:jc w:val="both"/>
      </w:pPr>
    </w:p>
    <w:p w:rsidR="009D73FA" w:rsidRPr="00AE0953" w:rsidRDefault="009D73FA" w:rsidP="00B31F87">
      <w:pPr>
        <w:pStyle w:val="ListParagraph"/>
        <w:numPr>
          <w:ilvl w:val="0"/>
          <w:numId w:val="8"/>
        </w:numPr>
        <w:jc w:val="both"/>
      </w:pPr>
      <w:r w:rsidRPr="00AE0953">
        <w:t>Condition – focus</w:t>
      </w:r>
      <w:r w:rsidR="00D91BCC">
        <w:t>sing</w:t>
      </w:r>
      <w:r w:rsidRPr="00AE0953">
        <w:t xml:space="preserve"> on the physical state of the premises to ensure safe and continuous operations as well as other issues involving building regulations and other non-education centric statutory requirements.</w:t>
      </w:r>
    </w:p>
    <w:p w:rsidR="009D73FA" w:rsidRPr="00AE0953" w:rsidRDefault="009D73FA" w:rsidP="00B31F87">
      <w:pPr>
        <w:pStyle w:val="ListParagraph"/>
        <w:numPr>
          <w:ilvl w:val="0"/>
          <w:numId w:val="8"/>
        </w:numPr>
        <w:jc w:val="both"/>
      </w:pPr>
      <w:r w:rsidRPr="00AE0953">
        <w:t>Suitability – focus</w:t>
      </w:r>
      <w:r w:rsidR="00D91BCC">
        <w:t>sing</w:t>
      </w:r>
      <w:r w:rsidRPr="00AE0953">
        <w:t xml:space="preserve"> on the quality of the premises to meet curriculum or management needs and other issues impacting on the role of the </w:t>
      </w:r>
      <w:r>
        <w:t>school</w:t>
      </w:r>
      <w:r w:rsidRPr="00AE0953">
        <w:t xml:space="preserve"> in raising educational standards. </w:t>
      </w:r>
    </w:p>
    <w:p w:rsidR="009D73FA" w:rsidRDefault="009D73FA" w:rsidP="009D73FA">
      <w:pPr>
        <w:jc w:val="both"/>
      </w:pPr>
      <w:r>
        <w:t xml:space="preserve">The school premises are monitored by the caretaking staff, who liaise with the staff responsible for health and safety and with the </w:t>
      </w:r>
      <w:r w:rsidR="00FE35A9" w:rsidRPr="00FE35A9">
        <w:t>headteacher</w:t>
      </w:r>
      <w:r>
        <w:t xml:space="preserve">, responsible for support staff. </w:t>
      </w:r>
    </w:p>
    <w:p w:rsidR="0055675B" w:rsidRDefault="0055675B" w:rsidP="0068728F">
      <w:pPr>
        <w:spacing w:line="360" w:lineRule="auto"/>
        <w:jc w:val="both"/>
      </w:pPr>
    </w:p>
    <w:p w:rsidR="004E4442" w:rsidRDefault="004E4442"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7D26DA" w:rsidRDefault="007D26DA" w:rsidP="0068728F">
      <w:pPr>
        <w:spacing w:line="360" w:lineRule="auto"/>
        <w:ind w:left="417"/>
        <w:jc w:val="both"/>
      </w:pPr>
    </w:p>
    <w:p w:rsidR="00D77A53" w:rsidRDefault="00D77A53" w:rsidP="0068728F">
      <w:pPr>
        <w:spacing w:line="360" w:lineRule="auto"/>
        <w:ind w:left="417"/>
        <w:jc w:val="both"/>
      </w:pPr>
    </w:p>
    <w:p w:rsidR="00D77A53" w:rsidRDefault="00D77A53"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rsidTr="007D26DA">
        <w:trPr>
          <w:trHeight w:val="389"/>
        </w:trPr>
        <w:tc>
          <w:tcPr>
            <w:tcW w:w="9242" w:type="dxa"/>
            <w:gridSpan w:val="4"/>
            <w:vAlign w:val="center"/>
          </w:tcPr>
          <w:p w:rsidR="00D77A53" w:rsidRDefault="00D77A53" w:rsidP="007D26DA">
            <w:pPr>
              <w:jc w:val="both"/>
            </w:pPr>
            <w:r w:rsidRPr="007271AF">
              <w:t>Signed by</w:t>
            </w:r>
            <w:r>
              <w:t>:</w:t>
            </w:r>
          </w:p>
        </w:tc>
      </w:tr>
      <w:tr w:rsidR="00D77A53" w:rsidTr="007D26DA">
        <w:trPr>
          <w:trHeight w:val="624"/>
        </w:trPr>
        <w:tc>
          <w:tcPr>
            <w:tcW w:w="2813" w:type="dxa"/>
            <w:tcBorders>
              <w:bottom w:val="single" w:sz="2" w:space="0" w:color="auto"/>
            </w:tcBorders>
          </w:tcPr>
          <w:p w:rsidR="00D77A53" w:rsidRPr="007271AF" w:rsidRDefault="00D77A53" w:rsidP="007D26DA">
            <w:pPr>
              <w:jc w:val="both"/>
            </w:pPr>
          </w:p>
        </w:tc>
        <w:tc>
          <w:tcPr>
            <w:tcW w:w="2365" w:type="dxa"/>
            <w:vAlign w:val="bottom"/>
          </w:tcPr>
          <w:p w:rsidR="00D77A53" w:rsidRDefault="00D77A53" w:rsidP="007D26DA">
            <w:pPr>
              <w:spacing w:after="60"/>
              <w:jc w:val="both"/>
            </w:pPr>
            <w:r w:rsidRPr="0066208C">
              <w:t>Headteacher</w:t>
            </w:r>
          </w:p>
        </w:tc>
        <w:tc>
          <w:tcPr>
            <w:tcW w:w="846" w:type="dxa"/>
            <w:vAlign w:val="bottom"/>
          </w:tcPr>
          <w:p w:rsidR="00D77A53" w:rsidRDefault="00D77A53" w:rsidP="007D26DA">
            <w:pPr>
              <w:jc w:val="both"/>
            </w:pPr>
            <w:r w:rsidRPr="007271AF">
              <w:t>Date:</w:t>
            </w:r>
          </w:p>
        </w:tc>
        <w:tc>
          <w:tcPr>
            <w:tcW w:w="3218" w:type="dxa"/>
            <w:tcBorders>
              <w:bottom w:val="single" w:sz="2" w:space="0" w:color="auto"/>
            </w:tcBorders>
          </w:tcPr>
          <w:p w:rsidR="00D77A53" w:rsidRDefault="00D77A53" w:rsidP="007D26DA">
            <w:pPr>
              <w:jc w:val="both"/>
            </w:pPr>
          </w:p>
        </w:tc>
      </w:tr>
      <w:tr w:rsidR="00D77A53" w:rsidTr="007D26DA">
        <w:trPr>
          <w:trHeight w:val="624"/>
        </w:trPr>
        <w:tc>
          <w:tcPr>
            <w:tcW w:w="2813" w:type="dxa"/>
            <w:tcBorders>
              <w:top w:val="single" w:sz="2" w:space="0" w:color="auto"/>
              <w:bottom w:val="single" w:sz="4" w:space="0" w:color="auto"/>
            </w:tcBorders>
          </w:tcPr>
          <w:p w:rsidR="00D77A53" w:rsidRPr="007271AF" w:rsidRDefault="00D77A53" w:rsidP="007D26DA">
            <w:pPr>
              <w:jc w:val="both"/>
            </w:pPr>
          </w:p>
        </w:tc>
        <w:tc>
          <w:tcPr>
            <w:tcW w:w="2365" w:type="dxa"/>
            <w:vAlign w:val="bottom"/>
          </w:tcPr>
          <w:p w:rsidR="00D77A53" w:rsidRDefault="00D77A53" w:rsidP="007D26DA">
            <w:pPr>
              <w:spacing w:after="60"/>
              <w:jc w:val="both"/>
              <w:rPr>
                <w:highlight w:val="lightGray"/>
              </w:rPr>
            </w:pPr>
            <w:r>
              <w:t>Chair of g</w:t>
            </w:r>
            <w:r w:rsidRPr="007271AF">
              <w:t>overnors</w:t>
            </w:r>
          </w:p>
        </w:tc>
        <w:tc>
          <w:tcPr>
            <w:tcW w:w="846" w:type="dxa"/>
            <w:vAlign w:val="bottom"/>
          </w:tcPr>
          <w:p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rsidR="00D77A53" w:rsidRDefault="00D77A53" w:rsidP="007D26DA">
            <w:pPr>
              <w:jc w:val="both"/>
            </w:pPr>
          </w:p>
        </w:tc>
      </w:tr>
    </w:tbl>
    <w:p w:rsidR="00D77A53" w:rsidRDefault="00D77A53" w:rsidP="0068728F">
      <w:pPr>
        <w:spacing w:line="360" w:lineRule="auto"/>
        <w:ind w:left="417"/>
        <w:jc w:val="both"/>
        <w:sectPr w:rsidR="00D77A53" w:rsidSect="003479CE">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75327" w:rsidRPr="005C1D5D" w:rsidRDefault="00715F3F" w:rsidP="00E533B5">
      <w:pPr>
        <w:pStyle w:val="Heading10"/>
      </w:pPr>
      <w:bookmarkStart w:id="3" w:name="_Peafowl_and_the"/>
      <w:bookmarkStart w:id="4" w:name="_Section_1"/>
      <w:bookmarkStart w:id="5" w:name="_Legal_framework"/>
      <w:bookmarkEnd w:id="3"/>
      <w:bookmarkEnd w:id="4"/>
      <w:bookmarkEnd w:id="5"/>
      <w:r>
        <w:lastRenderedPageBreak/>
        <w:t>Legal framework</w:t>
      </w:r>
    </w:p>
    <w:p w:rsidR="00715F3F" w:rsidRDefault="00715F3F" w:rsidP="00B31F87">
      <w:pPr>
        <w:pStyle w:val="TSB-Level1Numbers"/>
        <w:ind w:left="1424" w:hanging="431"/>
      </w:pPr>
      <w:r>
        <w:t>This policy will have consideration for and be in compliance with the following legislation:</w:t>
      </w:r>
    </w:p>
    <w:p w:rsidR="00715F3F" w:rsidRDefault="00715F3F" w:rsidP="001009AE">
      <w:pPr>
        <w:pStyle w:val="TSB-PolicyBullets"/>
      </w:pPr>
      <w:r>
        <w:t>The Control of Asbestos Regulations 2012</w:t>
      </w:r>
    </w:p>
    <w:p w:rsidR="00715F3F" w:rsidRDefault="00715F3F" w:rsidP="001009AE">
      <w:pPr>
        <w:pStyle w:val="TSB-PolicyBullets"/>
      </w:pPr>
      <w:r>
        <w:t>The School Premises</w:t>
      </w:r>
      <w:r w:rsidR="009B1724">
        <w:t xml:space="preserve"> (England)</w:t>
      </w:r>
      <w:r>
        <w:t xml:space="preserve"> Regulations </w:t>
      </w:r>
      <w:r w:rsidR="009B1724">
        <w:t>2012</w:t>
      </w:r>
    </w:p>
    <w:p w:rsidR="00715F3F" w:rsidRDefault="00715F3F" w:rsidP="001009AE">
      <w:pPr>
        <w:pStyle w:val="TSB-PolicyBullets"/>
      </w:pPr>
      <w:r>
        <w:t>The Health a</w:t>
      </w:r>
      <w:r w:rsidR="00D91BCC">
        <w:t>nd Safety at Work etc. Act 1974</w:t>
      </w:r>
    </w:p>
    <w:p w:rsidR="00715F3F" w:rsidRDefault="00142B1F" w:rsidP="001009AE">
      <w:pPr>
        <w:pStyle w:val="TSB-PolicyBullets"/>
      </w:pPr>
      <w:r>
        <w:t xml:space="preserve">The </w:t>
      </w:r>
      <w:r w:rsidR="00715F3F">
        <w:t>Management of Health and Safety at Work Regulati</w:t>
      </w:r>
      <w:r w:rsidR="00D91BCC">
        <w:t>ons 1999</w:t>
      </w:r>
    </w:p>
    <w:p w:rsidR="00715F3F" w:rsidRDefault="00715F3F" w:rsidP="001009AE">
      <w:pPr>
        <w:pStyle w:val="TSB-PolicyBullets"/>
      </w:pPr>
      <w:r>
        <w:t>Statutory Premises Management Documents</w:t>
      </w:r>
    </w:p>
    <w:p w:rsidR="00715F3F" w:rsidRDefault="00715F3F" w:rsidP="00B31F87">
      <w:pPr>
        <w:pStyle w:val="TSB-Level1Numbers"/>
        <w:ind w:left="1424" w:hanging="431"/>
      </w:pPr>
      <w:r>
        <w:t>This policy will also have due regard to the following statutory and non-statutory guidance:</w:t>
      </w:r>
    </w:p>
    <w:p w:rsidR="005B2EC2" w:rsidRDefault="005B2EC2" w:rsidP="005B2EC2">
      <w:pPr>
        <w:pStyle w:val="TSB-PolicyBullets"/>
      </w:pPr>
      <w:r>
        <w:t>DfE (2000) ‘Guidance on first aid for schools’</w:t>
      </w:r>
    </w:p>
    <w:p w:rsidR="00A20D0B" w:rsidRDefault="00A20D0B" w:rsidP="00A20D0B">
      <w:pPr>
        <w:pStyle w:val="TSB-PolicyBullets"/>
      </w:pPr>
      <w:r>
        <w:t xml:space="preserve">DfE (2014) ‘Health and safety: advice on legal powers and duties’ </w:t>
      </w:r>
    </w:p>
    <w:p w:rsidR="00715F3F" w:rsidRDefault="001009AE" w:rsidP="001009AE">
      <w:pPr>
        <w:pStyle w:val="TSB-PolicyBullets"/>
      </w:pPr>
      <w:r>
        <w:t>DfE (2017) ‘Managing asbestos in your school’</w:t>
      </w:r>
    </w:p>
    <w:p w:rsidR="00475327" w:rsidRPr="0066208C" w:rsidRDefault="002A1B53" w:rsidP="00E533B5">
      <w:pPr>
        <w:pStyle w:val="Heading10"/>
      </w:pPr>
      <w:bookmarkStart w:id="6" w:name="_Noise_disturbance"/>
      <w:bookmarkStart w:id="7" w:name="_Section_2"/>
      <w:bookmarkStart w:id="8" w:name="_Key_responsibilities"/>
      <w:bookmarkEnd w:id="6"/>
      <w:bookmarkEnd w:id="7"/>
      <w:bookmarkEnd w:id="8"/>
      <w:r>
        <w:t>Key responsibilities</w:t>
      </w:r>
    </w:p>
    <w:p w:rsidR="002A1B53" w:rsidRDefault="00821F16" w:rsidP="00B31F87">
      <w:pPr>
        <w:pStyle w:val="TSB-Level1Numbers"/>
        <w:ind w:left="1424" w:hanging="431"/>
      </w:pPr>
      <w:r w:rsidRPr="00821F16">
        <w:t>The</w:t>
      </w:r>
      <w:r w:rsidRPr="00821F16">
        <w:rPr>
          <w:b/>
          <w:color w:val="FFD008"/>
        </w:rPr>
        <w:t xml:space="preserve"> </w:t>
      </w:r>
      <w:r w:rsidRPr="00FE35A9">
        <w:t>governing board</w:t>
      </w:r>
      <w:r w:rsidR="002A1B53">
        <w:t>, as the duty holder, will be primarily responsible for ensuring the proper maintenance and repair of the school</w:t>
      </w:r>
      <w:r w:rsidR="00C14F22">
        <w:t>.</w:t>
      </w:r>
    </w:p>
    <w:p w:rsidR="002A1B53" w:rsidRDefault="002A1B53" w:rsidP="00B31F87">
      <w:pPr>
        <w:pStyle w:val="TSB-Level1Numbers"/>
        <w:ind w:left="1424" w:hanging="431"/>
      </w:pPr>
      <w:r w:rsidRPr="00821F16">
        <w:t>The</w:t>
      </w:r>
      <w:r w:rsidRPr="00FE35A9">
        <w:t xml:space="preserve"> </w:t>
      </w:r>
      <w:r w:rsidR="00FE35A9" w:rsidRPr="00FE35A9">
        <w:t>school office manager</w:t>
      </w:r>
      <w:r w:rsidRPr="00FE35A9">
        <w:t xml:space="preserve"> </w:t>
      </w:r>
      <w:r>
        <w:t xml:space="preserve">will be responsible for coordinating and supervising maintenance and repair work, including securing any external contractor where necessary.  </w:t>
      </w:r>
    </w:p>
    <w:p w:rsidR="0055675B" w:rsidRPr="007D26DA" w:rsidRDefault="002A1B53" w:rsidP="00B31F87">
      <w:pPr>
        <w:pStyle w:val="TSB-Level1Numbers"/>
        <w:ind w:left="1424" w:hanging="431"/>
      </w:pPr>
      <w:r w:rsidRPr="00821F16">
        <w:t>The</w:t>
      </w:r>
      <w:r w:rsidRPr="00FE35A9">
        <w:t xml:space="preserve"> </w:t>
      </w:r>
      <w:r w:rsidR="00FE35A9" w:rsidRPr="00FE35A9">
        <w:t>caretaker</w:t>
      </w:r>
      <w:r w:rsidRPr="00C14F22">
        <w:rPr>
          <w:color w:val="FFD008"/>
        </w:rPr>
        <w:t xml:space="preserve"> </w:t>
      </w:r>
      <w:r>
        <w:t>will identify and undertake all maintenance and repair work within the school</w:t>
      </w:r>
      <w:r w:rsidR="00C14F22">
        <w:t>.</w:t>
      </w:r>
    </w:p>
    <w:p w:rsidR="00475327" w:rsidRPr="0066208C" w:rsidRDefault="002A1B53" w:rsidP="00E533B5">
      <w:pPr>
        <w:pStyle w:val="Heading10"/>
      </w:pPr>
      <w:bookmarkStart w:id="9" w:name="_Damage_caused_by"/>
      <w:bookmarkStart w:id="10" w:name="_Section_3"/>
      <w:bookmarkStart w:id="11" w:name="_Asbestos"/>
      <w:bookmarkEnd w:id="9"/>
      <w:bookmarkEnd w:id="10"/>
      <w:bookmarkEnd w:id="11"/>
      <w:r>
        <w:t>Asbestos</w:t>
      </w:r>
    </w:p>
    <w:p w:rsidR="002A1B53" w:rsidRDefault="00821F16" w:rsidP="00B31F87">
      <w:pPr>
        <w:pStyle w:val="TSB-Level1Numbers"/>
        <w:ind w:left="1424" w:hanging="431"/>
      </w:pPr>
      <w:r w:rsidRPr="00821F16">
        <w:t>The</w:t>
      </w:r>
      <w:r w:rsidRPr="00FE35A9">
        <w:t xml:space="preserve"> governing board</w:t>
      </w:r>
      <w:r w:rsidR="002A1B53">
        <w:t xml:space="preserve">, in collaboration with the </w:t>
      </w:r>
      <w:r w:rsidR="002A1B53" w:rsidRPr="00FE35A9">
        <w:t>headteacher</w:t>
      </w:r>
      <w:r w:rsidR="002A1B53">
        <w:t xml:space="preserve">, </w:t>
      </w:r>
      <w:r w:rsidR="00FE35A9" w:rsidRPr="00FE35A9">
        <w:t>school office manager</w:t>
      </w:r>
      <w:r w:rsidR="002A1B53">
        <w:t xml:space="preserve">, and the </w:t>
      </w:r>
      <w:r w:rsidR="00FE35A9" w:rsidRPr="00FE35A9">
        <w:t>caretaker</w:t>
      </w:r>
      <w:r w:rsidR="002A1B53">
        <w:t>, will ensure that it meets its duty to manage asbestos in the school.</w:t>
      </w:r>
    </w:p>
    <w:p w:rsidR="002A1B53" w:rsidRDefault="002A1B53" w:rsidP="00B31F87">
      <w:pPr>
        <w:pStyle w:val="TSB-Level1Numbers"/>
        <w:ind w:left="1424" w:hanging="431"/>
      </w:pPr>
      <w:r w:rsidRPr="00821F16">
        <w:t>The</w:t>
      </w:r>
      <w:r w:rsidRPr="00FE35A9">
        <w:t xml:space="preserve"> </w:t>
      </w:r>
      <w:r w:rsidR="00FE35A9" w:rsidRPr="00FE35A9">
        <w:t>school office manager</w:t>
      </w:r>
      <w:r>
        <w:t xml:space="preserve">, together with the </w:t>
      </w:r>
      <w:r w:rsidR="00FE35A9" w:rsidRPr="00FE35A9">
        <w:t>caretaker</w:t>
      </w:r>
      <w:r>
        <w:t>, will ensure that an asbestos survey is undertaken by a qualified contractor whenever necessary with the outcomes recorded in an asbestos register.</w:t>
      </w:r>
    </w:p>
    <w:p w:rsidR="002A1B53" w:rsidRDefault="002A1B53" w:rsidP="00E533B5">
      <w:pPr>
        <w:pStyle w:val="TSB-Level1Numbers"/>
        <w:ind w:left="1424" w:hanging="431"/>
      </w:pPr>
      <w:r w:rsidRPr="00821F16">
        <w:t>The</w:t>
      </w:r>
      <w:r w:rsidRPr="00FE35A9">
        <w:t xml:space="preserve"> </w:t>
      </w:r>
      <w:r w:rsidR="00FE35A9" w:rsidRPr="00FE35A9">
        <w:t>school office manager</w:t>
      </w:r>
      <w:r>
        <w:t xml:space="preserve">, in collaboration with </w:t>
      </w:r>
      <w:r w:rsidRPr="00821F16">
        <w:t>the</w:t>
      </w:r>
      <w:r w:rsidRPr="00FE35A9">
        <w:t xml:space="preserve"> </w:t>
      </w:r>
      <w:r w:rsidR="00FE35A9" w:rsidRPr="00FE35A9">
        <w:t>caretaker</w:t>
      </w:r>
      <w:r>
        <w:t>, will put together an asbestos management pla</w:t>
      </w:r>
      <w:r w:rsidR="00C14F22">
        <w:t>n to manage the risks to school</w:t>
      </w:r>
      <w:r>
        <w:t xml:space="preserve"> staff and pupils regarding exposure to asbestos.</w:t>
      </w:r>
    </w:p>
    <w:p w:rsidR="002A1B53" w:rsidRDefault="002A1B53" w:rsidP="00E533B5">
      <w:pPr>
        <w:pStyle w:val="Heading10"/>
        <w:numPr>
          <w:ilvl w:val="0"/>
          <w:numId w:val="0"/>
        </w:numPr>
        <w:ind w:left="360"/>
      </w:pPr>
    </w:p>
    <w:p w:rsidR="002A1B53" w:rsidRDefault="002A1B53" w:rsidP="00E533B5">
      <w:pPr>
        <w:jc w:val="both"/>
      </w:pPr>
    </w:p>
    <w:p w:rsidR="002A1B53" w:rsidRDefault="002A1B53" w:rsidP="00E533B5">
      <w:pPr>
        <w:jc w:val="both"/>
      </w:pPr>
    </w:p>
    <w:p w:rsidR="002A1B53" w:rsidRDefault="002A1B53" w:rsidP="00E533B5">
      <w:pPr>
        <w:jc w:val="both"/>
      </w:pPr>
    </w:p>
    <w:p w:rsidR="002A1B53" w:rsidRDefault="002A1B53" w:rsidP="00E533B5">
      <w:pPr>
        <w:jc w:val="both"/>
      </w:pPr>
    </w:p>
    <w:p w:rsidR="002A1B53" w:rsidRPr="002A1B53" w:rsidRDefault="002A1B53" w:rsidP="00E533B5">
      <w:pPr>
        <w:jc w:val="both"/>
      </w:pPr>
    </w:p>
    <w:p w:rsidR="006A601E" w:rsidRPr="0066208C" w:rsidRDefault="002A1B53" w:rsidP="00E533B5">
      <w:pPr>
        <w:pStyle w:val="Heading10"/>
      </w:pPr>
      <w:bookmarkStart w:id="12" w:name="_Section_4"/>
      <w:bookmarkStart w:id="13" w:name="_Water_supply"/>
      <w:bookmarkEnd w:id="12"/>
      <w:bookmarkEnd w:id="13"/>
      <w:r>
        <w:lastRenderedPageBreak/>
        <w:t>Water supply</w:t>
      </w:r>
    </w:p>
    <w:p w:rsidR="002A1B53" w:rsidRDefault="002A1B53" w:rsidP="00B31F87">
      <w:pPr>
        <w:pStyle w:val="TSB-Level1Numbers"/>
        <w:ind w:left="1424" w:hanging="431"/>
      </w:pPr>
      <w:r w:rsidRPr="00821F16">
        <w:t xml:space="preserve">The </w:t>
      </w:r>
      <w:r w:rsidR="00FE35A9" w:rsidRPr="00FE35A9">
        <w:rPr>
          <w:rFonts w:asciiTheme="minorHAnsi" w:hAnsiTheme="minorHAnsi" w:cstheme="minorBidi"/>
          <w:szCs w:val="22"/>
        </w:rPr>
        <w:t>caretaker</w:t>
      </w:r>
      <w:r w:rsidRPr="00C14F22">
        <w:rPr>
          <w:color w:val="FFD008"/>
        </w:rPr>
        <w:t xml:space="preserve"> </w:t>
      </w:r>
      <w:r>
        <w:t>will ensure that the school’s water supply meets regulatory requirements by carrying out the appropriate checks at appropriate intervals so that:</w:t>
      </w:r>
    </w:p>
    <w:p w:rsidR="002A1B53" w:rsidRDefault="002A1B53" w:rsidP="00A20D0B">
      <w:pPr>
        <w:pStyle w:val="TSB-PolicyBullets"/>
        <w:numPr>
          <w:ilvl w:val="0"/>
          <w:numId w:val="9"/>
        </w:numPr>
      </w:pPr>
      <w:r>
        <w:t xml:space="preserve">The school has a clean supply of water for domestic purposes, including a supply of drinking water. </w:t>
      </w:r>
    </w:p>
    <w:p w:rsidR="002A1B53" w:rsidRDefault="002A1B53" w:rsidP="00A20D0B">
      <w:pPr>
        <w:pStyle w:val="TSB-PolicyBullets"/>
        <w:numPr>
          <w:ilvl w:val="0"/>
          <w:numId w:val="9"/>
        </w:numPr>
      </w:pPr>
      <w:r>
        <w:t xml:space="preserve">Toilet facilities have an adequate supply of cold water and washbasins, </w:t>
      </w:r>
      <w:r w:rsidR="00D91BCC">
        <w:t xml:space="preserve">and </w:t>
      </w:r>
      <w:r>
        <w:t>sinks and showers have an adequate supply of hot and cold water.</w:t>
      </w:r>
    </w:p>
    <w:p w:rsidR="002A1B53" w:rsidRDefault="002A1B53" w:rsidP="00A20D0B">
      <w:pPr>
        <w:pStyle w:val="TSB-PolicyBullets"/>
        <w:numPr>
          <w:ilvl w:val="0"/>
          <w:numId w:val="9"/>
        </w:numPr>
      </w:pPr>
      <w:r>
        <w:t xml:space="preserve">Temperatures do not exceed 43ºC as stated in legislation. </w:t>
      </w:r>
    </w:p>
    <w:p w:rsidR="00E21D36" w:rsidRDefault="00E21D36" w:rsidP="00E21D36">
      <w:pPr>
        <w:pStyle w:val="Heading10"/>
      </w:pPr>
      <w:bookmarkStart w:id="14" w:name="_T_oilet_and"/>
      <w:bookmarkEnd w:id="14"/>
      <w:r>
        <w:t>Toilet and washing facilities</w:t>
      </w:r>
    </w:p>
    <w:p w:rsidR="00E21D36" w:rsidRDefault="00E21D36" w:rsidP="00010F74">
      <w:pPr>
        <w:pStyle w:val="TSB-Level1Numbers"/>
      </w:pPr>
      <w:r>
        <w:t xml:space="preserve">For pupils under </w:t>
      </w:r>
      <w:r w:rsidR="00821F16" w:rsidRPr="00FE35A9">
        <w:t>5</w:t>
      </w:r>
      <w:r>
        <w:t xml:space="preserve"> years of age, there will be </w:t>
      </w:r>
      <w:r w:rsidRPr="00FE35A9">
        <w:t xml:space="preserve">one </w:t>
      </w:r>
      <w:r>
        <w:t xml:space="preserve">toilet and washbasin for every </w:t>
      </w:r>
      <w:r w:rsidRPr="00FE35A9">
        <w:t>10</w:t>
      </w:r>
      <w:r>
        <w:t xml:space="preserve"> pupils.</w:t>
      </w:r>
    </w:p>
    <w:p w:rsidR="00AC14D1" w:rsidRDefault="00AC14D1" w:rsidP="00010F74">
      <w:pPr>
        <w:pStyle w:val="TSB-Level1Numbers"/>
      </w:pPr>
      <w:r>
        <w:t xml:space="preserve">For pupils aged over </w:t>
      </w:r>
      <w:r w:rsidRPr="00FE35A9">
        <w:t>5</w:t>
      </w:r>
      <w:r>
        <w:t xml:space="preserve"> years of age there will be </w:t>
      </w:r>
      <w:r w:rsidRPr="00FE35A9">
        <w:t>one</w:t>
      </w:r>
      <w:r>
        <w:t xml:space="preserve"> toilet and washbasin for every </w:t>
      </w:r>
      <w:r w:rsidRPr="00FE35A9">
        <w:t>20</w:t>
      </w:r>
      <w:r>
        <w:t xml:space="preserve"> pupils.</w:t>
      </w:r>
    </w:p>
    <w:p w:rsidR="00AC14D1" w:rsidRDefault="00AC14D1" w:rsidP="00010F74">
      <w:pPr>
        <w:pStyle w:val="TSB-Level1Numbers"/>
      </w:pPr>
      <w:r>
        <w:t>Toilet and washing facilities will be planned to ensure that:</w:t>
      </w:r>
    </w:p>
    <w:p w:rsidR="00AC14D1" w:rsidRDefault="00AC14D1" w:rsidP="00A20D0B">
      <w:pPr>
        <w:pStyle w:val="TSB-PolicyBullets"/>
        <w:numPr>
          <w:ilvl w:val="0"/>
          <w:numId w:val="24"/>
        </w:numPr>
      </w:pPr>
      <w:r>
        <w:t xml:space="preserve">Hand washing facilities are provided within </w:t>
      </w:r>
      <w:r w:rsidR="002322B4">
        <w:t>the</w:t>
      </w:r>
      <w:r>
        <w:t xml:space="preserve"> vicinity of every toilet.</w:t>
      </w:r>
    </w:p>
    <w:p w:rsidR="00AC14D1" w:rsidRDefault="00AC14D1" w:rsidP="00A20D0B">
      <w:pPr>
        <w:pStyle w:val="TSB-PolicyBullets"/>
        <w:numPr>
          <w:ilvl w:val="0"/>
          <w:numId w:val="24"/>
        </w:numPr>
      </w:pPr>
      <w:r>
        <w:t xml:space="preserve">The </w:t>
      </w:r>
      <w:r w:rsidR="00D91BCC">
        <w:t xml:space="preserve">facilities </w:t>
      </w:r>
      <w:r>
        <w:t>are properly lit and ventilated.</w:t>
      </w:r>
    </w:p>
    <w:p w:rsidR="00AC14D1" w:rsidRDefault="00AC14D1" w:rsidP="00A20D0B">
      <w:pPr>
        <w:pStyle w:val="TSB-PolicyBullets"/>
        <w:numPr>
          <w:ilvl w:val="0"/>
          <w:numId w:val="24"/>
        </w:numPr>
      </w:pPr>
      <w:r>
        <w:t>They are located in areas that provide easy access for pupils, and allow for supervision by members of staff, without compromising the privacy of pupils.</w:t>
      </w:r>
    </w:p>
    <w:p w:rsidR="00080232" w:rsidRDefault="00080232" w:rsidP="00010F74">
      <w:pPr>
        <w:pStyle w:val="TSB-Level1Numbers"/>
      </w:pPr>
      <w:r>
        <w:t>Disabled toilets will have a toilet, washbasin and where possible, a shower or wash-down fitting.</w:t>
      </w:r>
    </w:p>
    <w:p w:rsidR="00080232" w:rsidRDefault="00080232" w:rsidP="00010F74">
      <w:pPr>
        <w:pStyle w:val="TSB-Level1Numbers"/>
      </w:pPr>
      <w:r>
        <w:t xml:space="preserve">Disabled toilets will have a door opening directly onto a circulation space that </w:t>
      </w:r>
      <w:r w:rsidR="00EC3755">
        <w:t>is not a staircase</w:t>
      </w:r>
      <w:r w:rsidR="005F1C31">
        <w:t xml:space="preserve"> and can be secured from the inside.</w:t>
      </w:r>
    </w:p>
    <w:p w:rsidR="005F1C31" w:rsidRDefault="005F1C31" w:rsidP="00010F74">
      <w:pPr>
        <w:pStyle w:val="TSB-Level1Numbers"/>
      </w:pPr>
      <w:r>
        <w:t>Where possible, a number of facilities will be available</w:t>
      </w:r>
      <w:r w:rsidR="009C62AA">
        <w:t>,</w:t>
      </w:r>
      <w:r>
        <w:t xml:space="preserve"> </w:t>
      </w:r>
      <w:r w:rsidR="0088110D">
        <w:t>to ensure a reasonable travel distance which does not involve changing floor levels.</w:t>
      </w:r>
    </w:p>
    <w:p w:rsidR="0088110D" w:rsidRDefault="0088110D" w:rsidP="00010F74">
      <w:pPr>
        <w:pStyle w:val="TSB-Level1Numbers"/>
      </w:pPr>
      <w:r>
        <w:t>Where possible, shower areas will be separate from toi</w:t>
      </w:r>
      <w:r w:rsidR="002322B4">
        <w:t>lets, and they must provide adequate privacy.</w:t>
      </w:r>
    </w:p>
    <w:p w:rsidR="00CB2A77" w:rsidRDefault="00CB2A77" w:rsidP="00CB2A77">
      <w:pPr>
        <w:pStyle w:val="Heading10"/>
      </w:pPr>
      <w:bookmarkStart w:id="15" w:name="_P_upils_with"/>
      <w:bookmarkEnd w:id="15"/>
      <w:r>
        <w:t>Pupils with SEND</w:t>
      </w:r>
    </w:p>
    <w:p w:rsidR="00CB2A77" w:rsidRDefault="00CB2A77" w:rsidP="00CB2A77">
      <w:pPr>
        <w:pStyle w:val="TSB-Level1Numbers"/>
      </w:pPr>
      <w:r>
        <w:t>In order to be compliant with the Equality Act 2010, an accessibility strategy will be implemented to ensure the premises are fully accessible to pupils with SEND.</w:t>
      </w:r>
    </w:p>
    <w:p w:rsidR="00CB2A77" w:rsidRDefault="00CB2A77" w:rsidP="00CB2A77">
      <w:pPr>
        <w:pStyle w:val="TSB-Level1Numbers"/>
      </w:pPr>
      <w:r>
        <w:t>The accessibility strategy will include the health and safety needs of pupils with SEND.</w:t>
      </w:r>
    </w:p>
    <w:p w:rsidR="00AB050C" w:rsidRDefault="00AB050C" w:rsidP="00AB050C">
      <w:pPr>
        <w:pStyle w:val="TSB-Level1Numbers"/>
        <w:numPr>
          <w:ilvl w:val="0"/>
          <w:numId w:val="0"/>
        </w:numPr>
        <w:ind w:left="1480"/>
      </w:pPr>
    </w:p>
    <w:p w:rsidR="007D26DA" w:rsidRDefault="00DC172F" w:rsidP="00E533B5">
      <w:pPr>
        <w:pStyle w:val="Heading10"/>
      </w:pPr>
      <w:bookmarkStart w:id="16" w:name="_Drainage"/>
      <w:bookmarkEnd w:id="16"/>
      <w:r>
        <w:lastRenderedPageBreak/>
        <w:t>Drainage</w:t>
      </w:r>
    </w:p>
    <w:p w:rsidR="00DC172F" w:rsidRDefault="00DC172F" w:rsidP="00B31F87">
      <w:pPr>
        <w:pStyle w:val="TSB-Level1Numbers"/>
        <w:ind w:left="1424" w:hanging="431"/>
      </w:pPr>
      <w:r w:rsidRPr="00D42C2D">
        <w:t>The</w:t>
      </w:r>
      <w:r w:rsidRPr="00C14F22">
        <w:rPr>
          <w:color w:val="FFD008"/>
        </w:rPr>
        <w:t xml:space="preserve"> </w:t>
      </w:r>
      <w:r w:rsidR="00FE35A9" w:rsidRPr="00FE35A9">
        <w:t>caretaker</w:t>
      </w:r>
      <w:r w:rsidRPr="00FE35A9">
        <w:t xml:space="preserve"> </w:t>
      </w:r>
      <w:r w:rsidRPr="00DC172F">
        <w:t>will ensure that there is adequate drainage for hygien</w:t>
      </w:r>
      <w:r w:rsidR="00D91BCC">
        <w:t xml:space="preserve">e </w:t>
      </w:r>
      <w:r w:rsidRPr="00DC172F">
        <w:t xml:space="preserve">purposes and for the disposal of waste water and surface water by carrying out regular visual checks and calling in external drainage specialists should problems arise in this area. </w:t>
      </w:r>
    </w:p>
    <w:p w:rsidR="005D6EF3" w:rsidRDefault="005D6EF3" w:rsidP="005D6EF3">
      <w:pPr>
        <w:pStyle w:val="Heading10"/>
      </w:pPr>
      <w:bookmarkStart w:id="17" w:name="_Lighting"/>
      <w:bookmarkEnd w:id="17"/>
      <w:r>
        <w:t>Lighting</w:t>
      </w:r>
    </w:p>
    <w:p w:rsidR="005D6EF3" w:rsidRDefault="00E01DD2" w:rsidP="00010F74">
      <w:pPr>
        <w:pStyle w:val="TSB-Level1Numbers"/>
      </w:pPr>
      <w:r>
        <w:t>Lighting will be provided which allows the faces of teachers and pupils to be visible for good communication</w:t>
      </w:r>
    </w:p>
    <w:p w:rsidR="00E01DD2" w:rsidRDefault="00E01DD2" w:rsidP="00010F74">
      <w:pPr>
        <w:pStyle w:val="TSB-Level1Numbers"/>
      </w:pPr>
      <w:r>
        <w:t>Daylight will be given priority in all spaces.</w:t>
      </w:r>
    </w:p>
    <w:p w:rsidR="00E01DD2" w:rsidRDefault="00E01DD2" w:rsidP="00010F74">
      <w:pPr>
        <w:pStyle w:val="TSB-Level1Numbers"/>
      </w:pPr>
      <w:r>
        <w:t>Adequate views will be available to the outside, in order to ensure comfort and avoid eye strain.</w:t>
      </w:r>
    </w:p>
    <w:p w:rsidR="00E01DD2" w:rsidRDefault="00E01DD2" w:rsidP="00010F74">
      <w:pPr>
        <w:pStyle w:val="TSB-Level1Numbers"/>
      </w:pPr>
      <w:r>
        <w:t>Lighting controls will be easy to use.</w:t>
      </w:r>
    </w:p>
    <w:p w:rsidR="00E01DD2" w:rsidRDefault="00E01DD2" w:rsidP="00010F74">
      <w:pPr>
        <w:pStyle w:val="TSB-Level1Numbers"/>
      </w:pPr>
      <w:r>
        <w:t xml:space="preserve">Blinds or other window covers will </w:t>
      </w:r>
      <w:r w:rsidR="00383F18">
        <w:t xml:space="preserve">be provided, in order to avoid glare or excessive sunlight. </w:t>
      </w:r>
    </w:p>
    <w:p w:rsidR="00383F18" w:rsidRDefault="00383F18" w:rsidP="00010F74">
      <w:pPr>
        <w:pStyle w:val="TSB-Level1Numbers"/>
      </w:pPr>
      <w:r>
        <w:t>External lighting will be provided to ensure safe pedestrian movement after dark.</w:t>
      </w:r>
    </w:p>
    <w:p w:rsidR="00383F18" w:rsidRDefault="00383F18" w:rsidP="00010F74">
      <w:pPr>
        <w:pStyle w:val="TSB-Level1Numbers"/>
      </w:pPr>
      <w:r>
        <w:t>Outdoor sports facilities will have floodlights if they are likely to be used out of school hours.</w:t>
      </w:r>
    </w:p>
    <w:p w:rsidR="00383F18" w:rsidRDefault="00383F18" w:rsidP="00010F74">
      <w:pPr>
        <w:pStyle w:val="TSB-Level1Numbers"/>
      </w:pPr>
      <w:r>
        <w:t>Emergency lighting will be provided for areas which are accessible after dark.</w:t>
      </w:r>
    </w:p>
    <w:p w:rsidR="00383F18" w:rsidRDefault="00383F18" w:rsidP="00010F74">
      <w:pPr>
        <w:pStyle w:val="TSB-Level1Numbers"/>
      </w:pPr>
      <w:r>
        <w:t>Pupils with SEND have additional needs, some of these may include:</w:t>
      </w:r>
    </w:p>
    <w:p w:rsidR="00383F18" w:rsidRDefault="00383F18" w:rsidP="00A20D0B">
      <w:pPr>
        <w:pStyle w:val="TSB-PolicyBullets"/>
        <w:numPr>
          <w:ilvl w:val="0"/>
          <w:numId w:val="29"/>
        </w:numPr>
      </w:pPr>
      <w:r>
        <w:t>Colour and contrast, which helps in locating doors and handles, stairs and steps.</w:t>
      </w:r>
    </w:p>
    <w:p w:rsidR="00383F18" w:rsidRDefault="00383F18" w:rsidP="00A20D0B">
      <w:pPr>
        <w:pStyle w:val="TSB-PolicyBullets"/>
        <w:numPr>
          <w:ilvl w:val="0"/>
          <w:numId w:val="29"/>
        </w:numPr>
      </w:pPr>
      <w:r>
        <w:t>Glare will be avoided, including high gloss paint.</w:t>
      </w:r>
    </w:p>
    <w:p w:rsidR="00010F74" w:rsidRDefault="00010F74" w:rsidP="00A20D0B">
      <w:pPr>
        <w:pStyle w:val="TSB-PolicyBullets"/>
        <w:numPr>
          <w:ilvl w:val="0"/>
          <w:numId w:val="29"/>
        </w:numPr>
      </w:pPr>
      <w:r>
        <w:t>Where possible, light sources</w:t>
      </w:r>
      <w:r w:rsidR="00D91BCC">
        <w:t>,</w:t>
      </w:r>
      <w:r>
        <w:t xml:space="preserve"> such as high frequency fluorescent luminaires</w:t>
      </w:r>
      <w:r w:rsidR="00D91BCC">
        <w:t>,</w:t>
      </w:r>
      <w:r>
        <w:t xml:space="preserve"> will be used to avoid subliminal flicker.</w:t>
      </w:r>
    </w:p>
    <w:p w:rsidR="00010F74" w:rsidRDefault="00010F74" w:rsidP="00A20D0B">
      <w:pPr>
        <w:pStyle w:val="TSB-PolicyBullets"/>
        <w:numPr>
          <w:ilvl w:val="0"/>
          <w:numId w:val="29"/>
        </w:numPr>
      </w:pPr>
      <w:r>
        <w:t xml:space="preserve">Large areas of glazing will be clearly marked in order to avoid accidents. </w:t>
      </w:r>
    </w:p>
    <w:p w:rsidR="00DC172F" w:rsidRDefault="00DC172F" w:rsidP="00E533B5">
      <w:pPr>
        <w:pStyle w:val="Heading10"/>
      </w:pPr>
      <w:bookmarkStart w:id="18" w:name="_Security"/>
      <w:bookmarkEnd w:id="18"/>
      <w:r>
        <w:t>Security</w:t>
      </w:r>
    </w:p>
    <w:p w:rsidR="00DC172F" w:rsidRDefault="00DC172F" w:rsidP="00B31F87">
      <w:pPr>
        <w:pStyle w:val="TSB-Level1Numbers"/>
        <w:ind w:left="1424" w:hanging="431"/>
      </w:pPr>
      <w:r w:rsidRPr="00D42C2D">
        <w:t>The</w:t>
      </w:r>
      <w:r w:rsidRPr="00C14F22">
        <w:rPr>
          <w:color w:val="FFD008"/>
        </w:rPr>
        <w:t xml:space="preserve"> </w:t>
      </w:r>
      <w:r w:rsidR="00FE35A9" w:rsidRPr="00FE35A9">
        <w:t>school office manager</w:t>
      </w:r>
      <w:r w:rsidRPr="00FE35A9">
        <w:t xml:space="preserve"> </w:t>
      </w:r>
      <w:r>
        <w:t xml:space="preserve">and </w:t>
      </w:r>
      <w:r w:rsidRPr="00D42C2D">
        <w:t>the</w:t>
      </w:r>
      <w:r w:rsidRPr="00FE35A9">
        <w:t xml:space="preserve"> </w:t>
      </w:r>
      <w:r w:rsidR="00FE35A9" w:rsidRPr="00FE35A9">
        <w:t>caretaker</w:t>
      </w:r>
      <w:r w:rsidRPr="00FE35A9">
        <w:t xml:space="preserve"> </w:t>
      </w:r>
      <w:r w:rsidR="00C14F22">
        <w:t>will ensure that the school</w:t>
      </w:r>
      <w:r>
        <w:t xml:space="preserve"> has adequate security arrangements in place for the grounds and buildings by ensuring that each building is securely locked and alarmed each night; that each building has a secure entrance; and that the school’s perimeters are sufficiently secure. </w:t>
      </w:r>
    </w:p>
    <w:p w:rsidR="00DC172F" w:rsidRDefault="00DC172F" w:rsidP="00B31F87">
      <w:pPr>
        <w:pStyle w:val="TSB-Level1Numbers"/>
        <w:ind w:left="1424" w:hanging="431"/>
      </w:pPr>
      <w:r>
        <w:t xml:space="preserve">The school’s security arrangements are based on a risk assessment, regularly reviewed by </w:t>
      </w:r>
      <w:r w:rsidRPr="00D42C2D">
        <w:t>the</w:t>
      </w:r>
      <w:r w:rsidRPr="00FE35A9">
        <w:t xml:space="preserve"> </w:t>
      </w:r>
      <w:r w:rsidR="00FE35A9" w:rsidRPr="00FE35A9">
        <w:t>school office manager</w:t>
      </w:r>
      <w:r>
        <w:t xml:space="preserve">, </w:t>
      </w:r>
      <w:r w:rsidR="00FE35A9" w:rsidRPr="00FE35A9">
        <w:t>caretaker</w:t>
      </w:r>
      <w:r>
        <w:t xml:space="preserve"> and </w:t>
      </w:r>
      <w:r w:rsidRPr="00FE35A9">
        <w:t>senior leadership team</w:t>
      </w:r>
      <w:r>
        <w:t>, explicitly taking into account the:</w:t>
      </w:r>
    </w:p>
    <w:p w:rsidR="00DC172F" w:rsidRDefault="00DC172F" w:rsidP="001009AE">
      <w:pPr>
        <w:pStyle w:val="TSB-PolicyBullets"/>
      </w:pPr>
      <w:r>
        <w:lastRenderedPageBreak/>
        <w:t>Location of the school.</w:t>
      </w:r>
    </w:p>
    <w:p w:rsidR="00DC172F" w:rsidRDefault="00DC172F" w:rsidP="001009AE">
      <w:pPr>
        <w:pStyle w:val="TSB-PolicyBullets"/>
      </w:pPr>
      <w:r>
        <w:t>Physical layout of the school.</w:t>
      </w:r>
    </w:p>
    <w:p w:rsidR="00DC172F" w:rsidRDefault="00DC172F" w:rsidP="00A20D0B">
      <w:pPr>
        <w:pStyle w:val="TSB-PolicyBullets"/>
      </w:pPr>
      <w:r w:rsidRPr="00D42C2D">
        <w:t>Boarding accommodation</w:t>
      </w:r>
      <w:r>
        <w:t>.</w:t>
      </w:r>
    </w:p>
    <w:p w:rsidR="00DC172F" w:rsidRDefault="00DC172F" w:rsidP="00A20D0B">
      <w:pPr>
        <w:pStyle w:val="TSB-PolicyBullets"/>
      </w:pPr>
      <w:r>
        <w:t>Movements needed around the site.</w:t>
      </w:r>
    </w:p>
    <w:p w:rsidR="00DC172F" w:rsidRDefault="00DC172F" w:rsidP="00A20D0B">
      <w:pPr>
        <w:pStyle w:val="TSB-PolicyBullets"/>
      </w:pPr>
      <w:r>
        <w:t>Arrangements for receiving visitors.</w:t>
      </w:r>
    </w:p>
    <w:p w:rsidR="00DC172F" w:rsidRDefault="00DC172F" w:rsidP="00A20D0B">
      <w:pPr>
        <w:pStyle w:val="TSB-PolicyBullets"/>
      </w:pPr>
      <w:r>
        <w:t>Staff/pupil training in security.</w:t>
      </w:r>
    </w:p>
    <w:p w:rsidR="00DC172F" w:rsidRDefault="00DC172F" w:rsidP="00E533B5">
      <w:pPr>
        <w:pStyle w:val="Heading10"/>
      </w:pPr>
      <w:bookmarkStart w:id="19" w:name="_Lettings"/>
      <w:bookmarkEnd w:id="19"/>
      <w:r>
        <w:t>Lettings</w:t>
      </w:r>
    </w:p>
    <w:p w:rsidR="00DC172F" w:rsidRPr="00DC172F" w:rsidRDefault="00DC172F" w:rsidP="00D91BCC">
      <w:pPr>
        <w:pStyle w:val="TSB-Level1Numbers"/>
        <w:ind w:left="1560" w:hanging="426"/>
      </w:pPr>
      <w:r w:rsidRPr="00D42C2D">
        <w:t>The</w:t>
      </w:r>
      <w:r w:rsidRPr="00D91BCC">
        <w:rPr>
          <w:color w:val="FFD008"/>
        </w:rPr>
        <w:t xml:space="preserve"> </w:t>
      </w:r>
      <w:r w:rsidR="00FE35A9" w:rsidRPr="00FE35A9">
        <w:t>school office manager</w:t>
      </w:r>
      <w:r w:rsidRPr="00FE35A9">
        <w:t xml:space="preserve"> </w:t>
      </w:r>
      <w:r w:rsidRPr="00DC172F">
        <w:t xml:space="preserve">will ensure </w:t>
      </w:r>
      <w:r w:rsidR="00E21D36" w:rsidRPr="00DC172F">
        <w:t>that premises</w:t>
      </w:r>
      <w:r w:rsidRPr="00DC172F">
        <w:t xml:space="preserve"> used for a purpose other than conducting the school’s main business are organised to ensure that the health, safety and welfare of pupils are safeguarded and their education is not interrupted by other users. </w:t>
      </w:r>
    </w:p>
    <w:p w:rsidR="00DC172F" w:rsidRPr="00FE35A9" w:rsidRDefault="00AC14D1" w:rsidP="00E533B5">
      <w:pPr>
        <w:pStyle w:val="Heading10"/>
        <w:rPr>
          <w:rFonts w:cstheme="minorHAnsi"/>
          <w:b w:val="0"/>
          <w:sz w:val="22"/>
        </w:rPr>
      </w:pPr>
      <w:bookmarkStart w:id="20" w:name="_Weather"/>
      <w:bookmarkEnd w:id="20"/>
      <w:r w:rsidRPr="00FE35A9">
        <w:rPr>
          <w:rFonts w:cstheme="minorHAnsi"/>
          <w:b w:val="0"/>
          <w:sz w:val="22"/>
        </w:rPr>
        <w:t>W</w:t>
      </w:r>
      <w:r w:rsidR="00FF7919" w:rsidRPr="00FE35A9">
        <w:rPr>
          <w:rFonts w:cstheme="minorHAnsi"/>
          <w:b w:val="0"/>
          <w:sz w:val="22"/>
        </w:rPr>
        <w:t>eather</w:t>
      </w:r>
    </w:p>
    <w:p w:rsidR="00FF7919" w:rsidRPr="00FF7919" w:rsidRDefault="00FF7919" w:rsidP="002322B4">
      <w:pPr>
        <w:pStyle w:val="TSB-Level1Numbers"/>
        <w:numPr>
          <w:ilvl w:val="1"/>
          <w:numId w:val="25"/>
        </w:numPr>
        <w:ind w:hanging="290"/>
      </w:pPr>
      <w:r w:rsidRPr="005D7E25">
        <w:t>The</w:t>
      </w:r>
      <w:r w:rsidRPr="00FE35A9">
        <w:t xml:space="preserve"> </w:t>
      </w:r>
      <w:r w:rsidR="00FE35A9" w:rsidRPr="00FE35A9">
        <w:t>caretaker</w:t>
      </w:r>
      <w:r w:rsidRPr="00FE35A9">
        <w:t xml:space="preserve"> </w:t>
      </w:r>
      <w:r w:rsidRPr="00FF7919">
        <w:t xml:space="preserve">will ensure that the school buildings provide reasonable resistance to penetration by rain, snow, wind and moisture from the ground by conducting regular visual checks. Any issues identified will be relayed to the </w:t>
      </w:r>
      <w:r w:rsidR="00FE35A9" w:rsidRPr="00FE35A9">
        <w:t>school office manager</w:t>
      </w:r>
      <w:r w:rsidRPr="00FF7919">
        <w:t>.</w:t>
      </w:r>
    </w:p>
    <w:p w:rsidR="00FF7919" w:rsidRPr="00FE35A9" w:rsidRDefault="00FF7919" w:rsidP="00E533B5">
      <w:pPr>
        <w:pStyle w:val="Heading10"/>
        <w:rPr>
          <w:rFonts w:cstheme="minorHAnsi"/>
          <w:b w:val="0"/>
          <w:sz w:val="22"/>
        </w:rPr>
      </w:pPr>
      <w:bookmarkStart w:id="21" w:name="_Evacuations"/>
      <w:bookmarkEnd w:id="21"/>
      <w:r w:rsidRPr="00FE35A9">
        <w:rPr>
          <w:rFonts w:cstheme="minorHAnsi"/>
          <w:b w:val="0"/>
          <w:sz w:val="22"/>
        </w:rPr>
        <w:t>Evacuations</w:t>
      </w:r>
    </w:p>
    <w:p w:rsidR="00FF7919" w:rsidRPr="00FF7919" w:rsidRDefault="00FF7919" w:rsidP="002322B4">
      <w:pPr>
        <w:pStyle w:val="TSB-Level1Numbers"/>
        <w:numPr>
          <w:ilvl w:val="1"/>
          <w:numId w:val="26"/>
        </w:numPr>
        <w:ind w:hanging="290"/>
      </w:pPr>
      <w:r w:rsidRPr="005D7E25">
        <w:t>The</w:t>
      </w:r>
      <w:r w:rsidRPr="00FE35A9">
        <w:t xml:space="preserve"> </w:t>
      </w:r>
      <w:r w:rsidR="00FE35A9" w:rsidRPr="00FE35A9">
        <w:t>caretaker</w:t>
      </w:r>
      <w:r w:rsidRPr="00FF7919">
        <w:t xml:space="preserve"> will ensure there is sufficient access so that emergency evacuations can be accomplished safely for all pupils, including those wit</w:t>
      </w:r>
      <w:r w:rsidR="00947182">
        <w:t>h special educational needs and</w:t>
      </w:r>
      <w:r w:rsidRPr="00FF7919">
        <w:t xml:space="preserve"> disabilities (SEND), by ensuring that all exits are kept clear and unobstructed, and by carrying out regular checks. </w:t>
      </w:r>
    </w:p>
    <w:p w:rsidR="00DC172F" w:rsidRPr="00FE35A9" w:rsidRDefault="00FF7919" w:rsidP="00E533B5">
      <w:pPr>
        <w:pStyle w:val="Heading10"/>
        <w:rPr>
          <w:rFonts w:cstheme="minorHAnsi"/>
          <w:b w:val="0"/>
          <w:sz w:val="22"/>
        </w:rPr>
      </w:pPr>
      <w:bookmarkStart w:id="22" w:name="_Accessibility"/>
      <w:bookmarkEnd w:id="22"/>
      <w:r w:rsidRPr="00FE35A9">
        <w:rPr>
          <w:rFonts w:cstheme="minorHAnsi"/>
          <w:b w:val="0"/>
          <w:sz w:val="22"/>
        </w:rPr>
        <w:t>Accessibility</w:t>
      </w:r>
    </w:p>
    <w:p w:rsidR="00FF7919" w:rsidRPr="00FF7919" w:rsidRDefault="00FF7919" w:rsidP="00B31F87">
      <w:pPr>
        <w:pStyle w:val="TSB-Level1Numbers"/>
        <w:numPr>
          <w:ilvl w:val="1"/>
          <w:numId w:val="11"/>
        </w:numPr>
        <w:ind w:hanging="290"/>
      </w:pPr>
      <w:r w:rsidRPr="005D7E25">
        <w:t>The</w:t>
      </w:r>
      <w:r w:rsidRPr="00FE35A9">
        <w:t xml:space="preserve"> </w:t>
      </w:r>
      <w:r w:rsidR="00FE35A9" w:rsidRPr="00FE35A9">
        <w:t>caretaker</w:t>
      </w:r>
      <w:r w:rsidRPr="00FE35A9">
        <w:t xml:space="preserve"> </w:t>
      </w:r>
      <w:r w:rsidRPr="00FF7919">
        <w:t xml:space="preserve">will ensure that access to the campus allows all pupils, including those with SEND, to enter and leave the campus in safety by ensuring entrances are well maintained, unobstructed and wheelchair accessible. </w:t>
      </w:r>
    </w:p>
    <w:p w:rsidR="00FF7919" w:rsidRPr="00FF7919" w:rsidRDefault="00FF7919" w:rsidP="00E533B5">
      <w:pPr>
        <w:pStyle w:val="Heading10"/>
      </w:pPr>
      <w:bookmarkStart w:id="23" w:name="_Suitability"/>
      <w:bookmarkEnd w:id="23"/>
      <w:r>
        <w:t>Suitability</w:t>
      </w:r>
    </w:p>
    <w:p w:rsidR="00FF7919" w:rsidRDefault="00FF7919" w:rsidP="00B31F87">
      <w:pPr>
        <w:pStyle w:val="TSB-Level1Numbers"/>
        <w:numPr>
          <w:ilvl w:val="1"/>
          <w:numId w:val="12"/>
        </w:numPr>
        <w:ind w:hanging="290"/>
      </w:pPr>
      <w:r w:rsidRPr="005D7E25">
        <w:t>The</w:t>
      </w:r>
      <w:r w:rsidRPr="00947182">
        <w:rPr>
          <w:color w:val="FFD008"/>
        </w:rPr>
        <w:t xml:space="preserve"> </w:t>
      </w:r>
      <w:r w:rsidR="00FE35A9" w:rsidRPr="00FE35A9">
        <w:t>school office manager</w:t>
      </w:r>
      <w:r w:rsidRPr="00FE35A9">
        <w:t xml:space="preserve"> </w:t>
      </w:r>
      <w:r>
        <w:t>will ensure, as much as is reasonably possible, that the school premises have not been condemned by the Environmental Health Authority through reference to appropriate documentation.</w:t>
      </w:r>
    </w:p>
    <w:p w:rsidR="00FF7919" w:rsidRDefault="00FF7919" w:rsidP="00B31F87">
      <w:pPr>
        <w:pStyle w:val="TSB-Level1Numbers"/>
        <w:numPr>
          <w:ilvl w:val="1"/>
          <w:numId w:val="12"/>
        </w:numPr>
        <w:ind w:hanging="290"/>
      </w:pPr>
      <w:r w:rsidRPr="005D7E25">
        <w:t>The</w:t>
      </w:r>
      <w:r w:rsidRPr="00FE35A9">
        <w:t xml:space="preserve"> </w:t>
      </w:r>
      <w:r w:rsidR="00FE35A9" w:rsidRPr="00FE35A9">
        <w:t>school office manager</w:t>
      </w:r>
      <w:r w:rsidRPr="00FE35A9">
        <w:t xml:space="preserve"> </w:t>
      </w:r>
      <w:r>
        <w:t xml:space="preserve">and </w:t>
      </w:r>
      <w:r w:rsidR="00FE35A9" w:rsidRPr="00FE35A9">
        <w:t>caretaker</w:t>
      </w:r>
      <w:r w:rsidRPr="00FE35A9">
        <w:t xml:space="preserve"> </w:t>
      </w:r>
      <w:r>
        <w:t xml:space="preserve">will further ensure that, in terms of the design and structure of school buildings, no areas of the school compromise health or safety. </w:t>
      </w:r>
    </w:p>
    <w:p w:rsidR="00E02E7D" w:rsidRDefault="00E02E7D" w:rsidP="00E02E7D">
      <w:pPr>
        <w:pStyle w:val="Heading10"/>
        <w:numPr>
          <w:ilvl w:val="0"/>
          <w:numId w:val="0"/>
        </w:numPr>
        <w:ind w:left="360"/>
      </w:pPr>
    </w:p>
    <w:p w:rsidR="00FE35A9" w:rsidRDefault="00FE35A9" w:rsidP="00FE35A9"/>
    <w:p w:rsidR="00FE35A9" w:rsidRPr="00FE35A9" w:rsidRDefault="00FE35A9" w:rsidP="00FE35A9"/>
    <w:p w:rsidR="00E02E7D" w:rsidRPr="00E02E7D" w:rsidRDefault="00E02E7D" w:rsidP="00E02E7D"/>
    <w:p w:rsidR="00E02E7D" w:rsidRPr="00E02E7D" w:rsidRDefault="00E02E7D" w:rsidP="00E02E7D"/>
    <w:p w:rsidR="00FF7919" w:rsidRDefault="00FF7919" w:rsidP="00E533B5">
      <w:pPr>
        <w:pStyle w:val="Heading10"/>
      </w:pPr>
      <w:bookmarkStart w:id="24" w:name="_Welfare"/>
      <w:bookmarkEnd w:id="24"/>
      <w:r>
        <w:t>Welfare</w:t>
      </w:r>
    </w:p>
    <w:p w:rsidR="00FF7919" w:rsidRPr="005D7E25" w:rsidRDefault="00FF7919" w:rsidP="00B31F87">
      <w:pPr>
        <w:pStyle w:val="TSB-Level1Numbers"/>
        <w:numPr>
          <w:ilvl w:val="1"/>
          <w:numId w:val="13"/>
        </w:numPr>
        <w:ind w:hanging="290"/>
      </w:pPr>
      <w:r w:rsidRPr="005D7E25">
        <w:lastRenderedPageBreak/>
        <w:t>The</w:t>
      </w:r>
      <w:r w:rsidRPr="00947182">
        <w:rPr>
          <w:color w:val="FFD008"/>
        </w:rPr>
        <w:t xml:space="preserve"> </w:t>
      </w:r>
      <w:r w:rsidR="00FE35A9" w:rsidRPr="00FE35A9">
        <w:t>school office manager</w:t>
      </w:r>
      <w:r w:rsidRPr="00FE35A9">
        <w:t xml:space="preserve"> </w:t>
      </w:r>
      <w:r w:rsidRPr="005D7E25">
        <w:t xml:space="preserve">and the </w:t>
      </w:r>
      <w:r w:rsidR="00FE35A9">
        <w:t>caretaker</w:t>
      </w:r>
      <w:r w:rsidRPr="005D7E25">
        <w:t xml:space="preserve"> will ensure that there are sufficient washrooms for staff and pupils, including facilities for pupils with </w:t>
      </w:r>
      <w:r w:rsidR="00947182" w:rsidRPr="005D7E25">
        <w:t>SEND</w:t>
      </w:r>
      <w:r w:rsidRPr="005D7E25">
        <w:t>, taking into account that:</w:t>
      </w:r>
    </w:p>
    <w:p w:rsidR="00FF7919" w:rsidRPr="005D7E25" w:rsidRDefault="00FF7919" w:rsidP="001009AE">
      <w:pPr>
        <w:pStyle w:val="TSB-PolicyBullets"/>
        <w:numPr>
          <w:ilvl w:val="0"/>
          <w:numId w:val="31"/>
        </w:numPr>
      </w:pPr>
      <w:r w:rsidRPr="005D7E25">
        <w:t>All single and double sanitary fittings contain one or two washbasins respectively.</w:t>
      </w:r>
    </w:p>
    <w:p w:rsidR="00FF7919" w:rsidRPr="005D7E25" w:rsidRDefault="00FF7919" w:rsidP="001009AE">
      <w:pPr>
        <w:pStyle w:val="TSB-PolicyBullets"/>
        <w:numPr>
          <w:ilvl w:val="0"/>
          <w:numId w:val="31"/>
        </w:numPr>
      </w:pPr>
      <w:r w:rsidRPr="005D7E25">
        <w:t>The number of washbasins is at least two-thirds that of the toilets/urinals in senior school.</w:t>
      </w:r>
    </w:p>
    <w:p w:rsidR="00FF7919" w:rsidRPr="005D7E25" w:rsidRDefault="00FF7919" w:rsidP="00A20D0B">
      <w:pPr>
        <w:pStyle w:val="TSB-PolicyBullets"/>
        <w:numPr>
          <w:ilvl w:val="0"/>
          <w:numId w:val="31"/>
        </w:numPr>
      </w:pPr>
      <w:r w:rsidRPr="005D7E25">
        <w:t xml:space="preserve">Separate washrooms for girls and boys are provided for pupils aged 8 </w:t>
      </w:r>
      <w:r w:rsidR="00BE44B4" w:rsidRPr="005D7E25">
        <w:t>years or</w:t>
      </w:r>
      <w:r w:rsidRPr="005D7E25">
        <w:t xml:space="preserve"> </w:t>
      </w:r>
      <w:r w:rsidR="00BE44B4" w:rsidRPr="005D7E25">
        <w:t>older</w:t>
      </w:r>
      <w:r w:rsidRPr="005D7E25">
        <w:t xml:space="preserve"> and separate washrooms are provided for staff and pupils.</w:t>
      </w:r>
    </w:p>
    <w:p w:rsidR="00FF7919" w:rsidRPr="005D7E25" w:rsidRDefault="00FF7919" w:rsidP="00A20D0B">
      <w:pPr>
        <w:pStyle w:val="TSB-PolicyBullets"/>
        <w:numPr>
          <w:ilvl w:val="0"/>
          <w:numId w:val="31"/>
        </w:numPr>
      </w:pPr>
      <w:r w:rsidRPr="005D7E25">
        <w:t>Staff washrooms are adequate for the number of staff at the school.</w:t>
      </w:r>
    </w:p>
    <w:p w:rsidR="00FF7919" w:rsidRPr="005D7E25" w:rsidRDefault="00FF7919" w:rsidP="00D91BCC">
      <w:pPr>
        <w:pStyle w:val="TSB-Level1Numbers"/>
        <w:numPr>
          <w:ilvl w:val="0"/>
          <w:numId w:val="31"/>
        </w:numPr>
        <w:spacing w:after="0"/>
      </w:pPr>
      <w:r w:rsidRPr="005D7E25">
        <w:t>Changing facilities, including showers, provided for pupils are accessible from the playing field</w:t>
      </w:r>
      <w:r w:rsidR="006C4DB1" w:rsidRPr="005D7E25">
        <w:t>/sports hall</w:t>
      </w:r>
      <w:r w:rsidRPr="005D7E25">
        <w:t xml:space="preserve"> where the exercise takes place.</w:t>
      </w:r>
    </w:p>
    <w:p w:rsidR="00947182" w:rsidRDefault="00947182" w:rsidP="00E533B5">
      <w:pPr>
        <w:pStyle w:val="TSB-Level1Numbers"/>
        <w:numPr>
          <w:ilvl w:val="0"/>
          <w:numId w:val="0"/>
        </w:numPr>
        <w:spacing w:after="0"/>
        <w:ind w:left="2127"/>
      </w:pPr>
    </w:p>
    <w:p w:rsidR="00FF7919" w:rsidRDefault="00FF7919" w:rsidP="00B31F87">
      <w:pPr>
        <w:pStyle w:val="TSB-Level1Numbers"/>
        <w:ind w:left="1424" w:hanging="573"/>
      </w:pPr>
      <w:r w:rsidRPr="005D7E25">
        <w:t>The</w:t>
      </w:r>
      <w:r w:rsidRPr="00FC2F0C">
        <w:rPr>
          <w:color w:val="FFD008"/>
        </w:rPr>
        <w:t xml:space="preserve"> </w:t>
      </w:r>
      <w:r w:rsidR="00FE35A9" w:rsidRPr="00FE35A9">
        <w:t>school office manager</w:t>
      </w:r>
      <w:r w:rsidRPr="00FC2F0C">
        <w:rPr>
          <w:color w:val="FFD008"/>
        </w:rPr>
        <w:t xml:space="preserve"> </w:t>
      </w:r>
      <w:r>
        <w:t>will further ensure that there are appropriate facilities in place for pupils who are ill, including:</w:t>
      </w:r>
    </w:p>
    <w:p w:rsidR="00FF7919" w:rsidRDefault="00FF7919" w:rsidP="001009AE">
      <w:pPr>
        <w:pStyle w:val="TSB-PolicyBullets"/>
      </w:pPr>
      <w:r>
        <w:t>A room for medical or dental examination.</w:t>
      </w:r>
    </w:p>
    <w:p w:rsidR="00FF7919" w:rsidRDefault="00FF7919" w:rsidP="001009AE">
      <w:pPr>
        <w:pStyle w:val="TSB-PolicyBullets"/>
      </w:pPr>
      <w:r>
        <w:t xml:space="preserve">A washbasin. </w:t>
      </w:r>
    </w:p>
    <w:p w:rsidR="002322B4" w:rsidRDefault="002322B4" w:rsidP="002322B4">
      <w:pPr>
        <w:pStyle w:val="Heading10"/>
      </w:pPr>
      <w:bookmarkStart w:id="25" w:name="_F_ire_safety"/>
      <w:bookmarkEnd w:id="25"/>
      <w:r>
        <w:t>Fire safety</w:t>
      </w:r>
    </w:p>
    <w:p w:rsidR="002322B4" w:rsidRDefault="009C62AA" w:rsidP="00CB2A77">
      <w:pPr>
        <w:pStyle w:val="TSB-Level1Numbers"/>
        <w:numPr>
          <w:ilvl w:val="1"/>
          <w:numId w:val="27"/>
        </w:numPr>
        <w:ind w:hanging="290"/>
      </w:pPr>
      <w:r>
        <w:t>Fire r</w:t>
      </w:r>
      <w:r w:rsidR="002322B4">
        <w:t xml:space="preserve">isk assessments </w:t>
      </w:r>
      <w:r>
        <w:t>will</w:t>
      </w:r>
      <w:r w:rsidR="002322B4">
        <w:t xml:space="preserve"> be undertaken in order to identify the general fire precautions needed to ensure the safety of occupants in the case of a fire. </w:t>
      </w:r>
    </w:p>
    <w:p w:rsidR="002322B4" w:rsidRDefault="002322B4" w:rsidP="00CB2A77">
      <w:pPr>
        <w:pStyle w:val="TSB-Level1Numbers"/>
        <w:numPr>
          <w:ilvl w:val="1"/>
          <w:numId w:val="27"/>
        </w:numPr>
        <w:ind w:hanging="290"/>
      </w:pPr>
      <w:r>
        <w:t>Procedures will be in place for reducing the likelihood of fire including fire detection and alarm systems.</w:t>
      </w:r>
    </w:p>
    <w:p w:rsidR="00CB2A77" w:rsidRDefault="002322B4" w:rsidP="00CB2A77">
      <w:pPr>
        <w:pStyle w:val="TSB-Level1Numbers"/>
        <w:numPr>
          <w:ilvl w:val="1"/>
          <w:numId w:val="27"/>
        </w:numPr>
        <w:ind w:hanging="290"/>
      </w:pPr>
      <w:r>
        <w:t xml:space="preserve">Staff and pupils will </w:t>
      </w:r>
      <w:r w:rsidR="00CB2A77">
        <w:t>be familiarised with emergency evacuation procedures.</w:t>
      </w:r>
    </w:p>
    <w:p w:rsidR="002322B4" w:rsidRDefault="00CB2A77" w:rsidP="00CB2A77">
      <w:pPr>
        <w:pStyle w:val="TSB-Level1Numbers"/>
        <w:numPr>
          <w:ilvl w:val="1"/>
          <w:numId w:val="27"/>
        </w:numPr>
        <w:ind w:hanging="290"/>
      </w:pPr>
      <w:r>
        <w:t xml:space="preserve">Risk assessments will be updated if there are any significant changes to the premises. </w:t>
      </w:r>
    </w:p>
    <w:p w:rsidR="00BE44B4" w:rsidRDefault="00BE44B4" w:rsidP="00E533B5">
      <w:pPr>
        <w:pStyle w:val="Heading10"/>
      </w:pPr>
      <w:bookmarkStart w:id="26" w:name="_Catering"/>
      <w:bookmarkEnd w:id="26"/>
      <w:r>
        <w:t>Catering</w:t>
      </w:r>
    </w:p>
    <w:p w:rsidR="00BE44B4" w:rsidRPr="00BE44B4" w:rsidRDefault="00BE44B4" w:rsidP="00B31F87">
      <w:pPr>
        <w:pStyle w:val="TSB-Level1Numbers"/>
        <w:numPr>
          <w:ilvl w:val="1"/>
          <w:numId w:val="14"/>
        </w:numPr>
        <w:ind w:hanging="290"/>
      </w:pPr>
      <w:r w:rsidRPr="00E02E7D">
        <w:t>The</w:t>
      </w:r>
      <w:r w:rsidRPr="00FC2F0C">
        <w:rPr>
          <w:color w:val="FFD008"/>
        </w:rPr>
        <w:t xml:space="preserve"> </w:t>
      </w:r>
      <w:r w:rsidR="00FE35A9" w:rsidRPr="00FE35A9">
        <w:t>school office manager</w:t>
      </w:r>
      <w:r w:rsidRPr="00BE44B4">
        <w:t xml:space="preserve">, in consultation with the </w:t>
      </w:r>
      <w:r w:rsidR="00FE35A9">
        <w:t>headteacher</w:t>
      </w:r>
      <w:r w:rsidRPr="00BE44B4">
        <w:t xml:space="preserve">, will ensure that where food is served, there are adequate facilities in place for its hygienic preparation, serving and consumption. </w:t>
      </w:r>
    </w:p>
    <w:p w:rsidR="00BE44B4" w:rsidRDefault="00BE44B4" w:rsidP="00E533B5">
      <w:pPr>
        <w:pStyle w:val="Heading10"/>
      </w:pPr>
      <w:bookmarkStart w:id="27" w:name="_Cleaning"/>
      <w:bookmarkEnd w:id="27"/>
      <w:r>
        <w:t>Cleaning</w:t>
      </w:r>
    </w:p>
    <w:p w:rsidR="00BE44B4" w:rsidRDefault="00BE44B4" w:rsidP="00B31F87">
      <w:pPr>
        <w:pStyle w:val="TSB-Level1Numbers"/>
        <w:numPr>
          <w:ilvl w:val="1"/>
          <w:numId w:val="20"/>
        </w:numPr>
        <w:ind w:hanging="290"/>
      </w:pPr>
      <w:r w:rsidRPr="00E02E7D">
        <w:t>The</w:t>
      </w:r>
      <w:r w:rsidRPr="00FC2F0C">
        <w:rPr>
          <w:color w:val="FFD008"/>
        </w:rPr>
        <w:t xml:space="preserve"> </w:t>
      </w:r>
      <w:r w:rsidR="00FE35A9" w:rsidRPr="00FE35A9">
        <w:t>school office manager</w:t>
      </w:r>
      <w:r w:rsidRPr="00E02E7D">
        <w:rPr>
          <w:b/>
          <w:color w:val="FFD008"/>
        </w:rPr>
        <w:t xml:space="preserve"> </w:t>
      </w:r>
      <w:r w:rsidRPr="00E02E7D">
        <w:t>will</w:t>
      </w:r>
      <w:r w:rsidRPr="00BE44B4">
        <w:t xml:space="preserve"> ensure that classrooms and other parts of the school are maintained in a tidy, clean and hygienic state by monitoring standards.</w:t>
      </w:r>
    </w:p>
    <w:p w:rsidR="00010F74" w:rsidRDefault="00010F74" w:rsidP="00010F74">
      <w:pPr>
        <w:pStyle w:val="Heading10"/>
        <w:numPr>
          <w:ilvl w:val="0"/>
          <w:numId w:val="0"/>
        </w:numPr>
        <w:ind w:left="360"/>
      </w:pPr>
    </w:p>
    <w:p w:rsidR="00010F74" w:rsidRPr="00010F74" w:rsidRDefault="00010F74" w:rsidP="00010F74"/>
    <w:p w:rsidR="00CB2A77" w:rsidRDefault="00CB2A77" w:rsidP="00CB2A77">
      <w:pPr>
        <w:pStyle w:val="Heading10"/>
      </w:pPr>
      <w:bookmarkStart w:id="28" w:name="_A_coustics"/>
      <w:bookmarkEnd w:id="28"/>
      <w:r>
        <w:t>Acoustics</w:t>
      </w:r>
    </w:p>
    <w:p w:rsidR="00CB2A77" w:rsidRDefault="00C744A0" w:rsidP="005D6EF3">
      <w:pPr>
        <w:pStyle w:val="TSB-Level1Numbers"/>
        <w:numPr>
          <w:ilvl w:val="1"/>
          <w:numId w:val="28"/>
        </w:numPr>
        <w:ind w:hanging="290"/>
      </w:pPr>
      <w:r>
        <w:lastRenderedPageBreak/>
        <w:t>Learning spaces will be designed in a way to enable people to hear clearly, understand and concentrate.</w:t>
      </w:r>
    </w:p>
    <w:p w:rsidR="00C744A0" w:rsidRDefault="00C744A0" w:rsidP="005D6EF3">
      <w:pPr>
        <w:pStyle w:val="TSB-Level1Numbers"/>
        <w:numPr>
          <w:ilvl w:val="1"/>
          <w:numId w:val="28"/>
        </w:numPr>
        <w:ind w:hanging="290"/>
      </w:pPr>
      <w:r>
        <w:t xml:space="preserve">There will be minimal disturbance from unwanted noise.  </w:t>
      </w:r>
    </w:p>
    <w:p w:rsidR="005D6EF3" w:rsidRPr="00CB2A77" w:rsidRDefault="005D6EF3" w:rsidP="005D6EF3">
      <w:pPr>
        <w:pStyle w:val="TSB-Level1Numbers"/>
        <w:numPr>
          <w:ilvl w:val="1"/>
          <w:numId w:val="28"/>
        </w:numPr>
        <w:ind w:hanging="290"/>
      </w:pPr>
      <w:r>
        <w:t>Some learning spaces, such as music rooms or open areas, will require higher acoustic standards.</w:t>
      </w:r>
    </w:p>
    <w:p w:rsidR="00BE44B4" w:rsidRDefault="00BE44B4" w:rsidP="00E533B5">
      <w:pPr>
        <w:pStyle w:val="Heading10"/>
      </w:pPr>
      <w:bookmarkStart w:id="29" w:name="_Mechanical_services"/>
      <w:bookmarkEnd w:id="29"/>
      <w:r>
        <w:t>Mechanical services</w:t>
      </w:r>
    </w:p>
    <w:p w:rsidR="00BE44B4" w:rsidRDefault="00BE44B4" w:rsidP="00B31F87">
      <w:pPr>
        <w:pStyle w:val="TSB-Level1Numbers"/>
        <w:numPr>
          <w:ilvl w:val="1"/>
          <w:numId w:val="16"/>
        </w:numPr>
        <w:ind w:hanging="290"/>
      </w:pPr>
      <w:r w:rsidRPr="00E02E7D">
        <w:t>The</w:t>
      </w:r>
      <w:r w:rsidRPr="00FC2F0C">
        <w:rPr>
          <w:color w:val="FFD008"/>
        </w:rPr>
        <w:t xml:space="preserve"> </w:t>
      </w:r>
      <w:r w:rsidR="00FE35A9" w:rsidRPr="00FE35A9">
        <w:t>caretaker</w:t>
      </w:r>
      <w:r w:rsidRPr="00FE35A9">
        <w:t xml:space="preserve"> </w:t>
      </w:r>
      <w:r>
        <w:t>will ensure that the lighting, heating and ventilation in classrooms and other parts of the school are satisfactory in that:</w:t>
      </w:r>
    </w:p>
    <w:p w:rsidR="00BE44B4" w:rsidRDefault="00BE44B4" w:rsidP="00B31F87">
      <w:pPr>
        <w:pStyle w:val="TSB-Level1Numbers"/>
        <w:numPr>
          <w:ilvl w:val="0"/>
          <w:numId w:val="17"/>
        </w:numPr>
        <w:spacing w:after="0"/>
        <w:ind w:hanging="584"/>
      </w:pPr>
      <w:r>
        <w:t>Each room or space in the school has lighting appropriate to its normal use.</w:t>
      </w:r>
    </w:p>
    <w:p w:rsidR="00BE44B4" w:rsidRDefault="00BE44B4" w:rsidP="00B31F87">
      <w:pPr>
        <w:pStyle w:val="TSB-Level1Numbers"/>
        <w:numPr>
          <w:ilvl w:val="0"/>
          <w:numId w:val="17"/>
        </w:numPr>
        <w:spacing w:after="0"/>
        <w:ind w:hanging="584"/>
      </w:pPr>
      <w:r>
        <w:t>Each room or space in the school</w:t>
      </w:r>
      <w:r w:rsidR="00FC2F0C">
        <w:t xml:space="preserve"> </w:t>
      </w:r>
      <w:r>
        <w:t>has a system of heating appropriate to its normal use.</w:t>
      </w:r>
    </w:p>
    <w:p w:rsidR="00BE44B4" w:rsidRDefault="00BE44B4" w:rsidP="00B31F87">
      <w:pPr>
        <w:pStyle w:val="TSB-Level1Numbers"/>
        <w:numPr>
          <w:ilvl w:val="0"/>
          <w:numId w:val="17"/>
        </w:numPr>
        <w:spacing w:after="0"/>
        <w:ind w:hanging="584"/>
      </w:pPr>
      <w:r>
        <w:t>Adequate measures are taken to prevent condensation and noxious fumes in kitchens and other rooms.</w:t>
      </w:r>
    </w:p>
    <w:p w:rsidR="00BE44B4" w:rsidRDefault="00BE44B4" w:rsidP="00E533B5">
      <w:pPr>
        <w:pStyle w:val="TSB-Level1Numbers"/>
        <w:numPr>
          <w:ilvl w:val="0"/>
          <w:numId w:val="0"/>
        </w:numPr>
        <w:spacing w:after="0"/>
        <w:ind w:left="2144"/>
      </w:pPr>
    </w:p>
    <w:p w:rsidR="00BE44B4" w:rsidRDefault="00BE44B4" w:rsidP="00B31F87">
      <w:pPr>
        <w:pStyle w:val="TSB-Level1Numbers"/>
        <w:numPr>
          <w:ilvl w:val="1"/>
          <w:numId w:val="15"/>
        </w:numPr>
        <w:ind w:hanging="290"/>
      </w:pPr>
      <w:r>
        <w:t>This will be done through a programme of monitoring and systematic feedback from staff.</w:t>
      </w:r>
    </w:p>
    <w:p w:rsidR="00BE44B4" w:rsidRDefault="009D7C78" w:rsidP="00E533B5">
      <w:pPr>
        <w:pStyle w:val="Heading10"/>
      </w:pPr>
      <w:bookmarkStart w:id="30" w:name="_Maintenance"/>
      <w:bookmarkEnd w:id="30"/>
      <w:r>
        <w:t>Maintenance</w:t>
      </w:r>
    </w:p>
    <w:p w:rsidR="009D7C78" w:rsidRDefault="009D7C78" w:rsidP="00B31F87">
      <w:pPr>
        <w:pStyle w:val="TSB-Level1Numbers"/>
        <w:numPr>
          <w:ilvl w:val="1"/>
          <w:numId w:val="18"/>
        </w:numPr>
        <w:ind w:hanging="290"/>
      </w:pPr>
      <w:r w:rsidRPr="00E02E7D">
        <w:t>The</w:t>
      </w:r>
      <w:r w:rsidRPr="00FC2F0C">
        <w:rPr>
          <w:color w:val="FFD008"/>
        </w:rPr>
        <w:t xml:space="preserve"> </w:t>
      </w:r>
      <w:r w:rsidR="00FE35A9" w:rsidRPr="00FE35A9">
        <w:t>office</w:t>
      </w:r>
      <w:r w:rsidRPr="00FE35A9">
        <w:t xml:space="preserve"> manager</w:t>
      </w:r>
      <w:r w:rsidRPr="00FC2F0C">
        <w:rPr>
          <w:color w:val="FFD008"/>
        </w:rPr>
        <w:t xml:space="preserve"> </w:t>
      </w:r>
      <w:r>
        <w:t xml:space="preserve">will ensure that there is a satisfactory standard and adequate maintenance of decoration by implementing the school’s planned maintenance programme, including the statutory and best practice checks outlined in Appendix A. </w:t>
      </w:r>
    </w:p>
    <w:p w:rsidR="009D7C78" w:rsidRDefault="009D7C78" w:rsidP="00B31F87">
      <w:pPr>
        <w:pStyle w:val="TSB-Level1Numbers"/>
        <w:numPr>
          <w:ilvl w:val="1"/>
          <w:numId w:val="18"/>
        </w:numPr>
        <w:ind w:hanging="290"/>
      </w:pPr>
      <w:r>
        <w:t xml:space="preserve">Most of this work will take place during holiday periods, but smaller tasks may be completed during term time.  </w:t>
      </w:r>
    </w:p>
    <w:p w:rsidR="009D7C78" w:rsidRPr="009D7C78" w:rsidRDefault="009D7C78" w:rsidP="00E533B5">
      <w:pPr>
        <w:pStyle w:val="Heading10"/>
      </w:pPr>
      <w:bookmarkStart w:id="31" w:name="_Furnishings"/>
      <w:bookmarkEnd w:id="31"/>
      <w:r>
        <w:t>Furnishings</w:t>
      </w:r>
    </w:p>
    <w:p w:rsidR="009D7C78" w:rsidRDefault="009D7C78" w:rsidP="00B31F87">
      <w:pPr>
        <w:pStyle w:val="TSB-Level1Numbers"/>
        <w:numPr>
          <w:ilvl w:val="1"/>
          <w:numId w:val="19"/>
        </w:numPr>
        <w:ind w:hanging="290"/>
      </w:pPr>
      <w:r w:rsidRPr="00E02E7D">
        <w:t>The</w:t>
      </w:r>
      <w:r w:rsidRPr="00FC2F0C">
        <w:rPr>
          <w:color w:val="FFD008"/>
        </w:rPr>
        <w:t xml:space="preserve"> </w:t>
      </w:r>
      <w:r w:rsidR="00FE35A9" w:rsidRPr="00FE35A9">
        <w:t>office</w:t>
      </w:r>
      <w:r w:rsidRPr="00FE35A9">
        <w:t xml:space="preserve"> manager</w:t>
      </w:r>
      <w:r>
        <w:t xml:space="preserve">, in consultation with the </w:t>
      </w:r>
      <w:r w:rsidRPr="00FE35A9">
        <w:t>headteacher and relevant heads of department</w:t>
      </w:r>
      <w:r>
        <w:t xml:space="preserve">, will ensure that the furniture and fittings are appropriately designed for the age and needs (including any SEND or medical conditions) if all pupils registered at the school. </w:t>
      </w:r>
    </w:p>
    <w:p w:rsidR="009D7C78" w:rsidRDefault="009D7C78" w:rsidP="00B31F87">
      <w:pPr>
        <w:pStyle w:val="TSB-Level1Numbers"/>
        <w:numPr>
          <w:ilvl w:val="1"/>
          <w:numId w:val="19"/>
        </w:numPr>
        <w:ind w:hanging="290"/>
      </w:pPr>
      <w:r>
        <w:t xml:space="preserve">Consideration will be given to specific requests for furniture and fittings generated as a result of the annual departmental review of furniture and fittings conducted by the </w:t>
      </w:r>
      <w:r w:rsidR="00FE35A9">
        <w:t>caretaker</w:t>
      </w:r>
      <w:r>
        <w:t>.</w:t>
      </w:r>
    </w:p>
    <w:p w:rsidR="006A0E08" w:rsidRDefault="006A0E08" w:rsidP="006A0E08">
      <w:pPr>
        <w:pStyle w:val="Heading10"/>
        <w:numPr>
          <w:ilvl w:val="0"/>
          <w:numId w:val="0"/>
        </w:numPr>
        <w:ind w:left="360"/>
      </w:pPr>
    </w:p>
    <w:p w:rsidR="006A0E08" w:rsidRDefault="006A0E08" w:rsidP="006A0E08"/>
    <w:p w:rsidR="006A0E08" w:rsidRPr="006A0E08" w:rsidRDefault="006A0E08" w:rsidP="006A0E08"/>
    <w:p w:rsidR="00FF7919" w:rsidRDefault="009D7C78" w:rsidP="00E533B5">
      <w:pPr>
        <w:pStyle w:val="Heading10"/>
      </w:pPr>
      <w:bookmarkStart w:id="32" w:name="_P_laying_fields"/>
      <w:bookmarkStart w:id="33" w:name="_Grounds"/>
      <w:bookmarkStart w:id="34" w:name="_GoBack"/>
      <w:bookmarkEnd w:id="32"/>
      <w:bookmarkEnd w:id="33"/>
      <w:bookmarkEnd w:id="34"/>
      <w:r>
        <w:t>Grounds</w:t>
      </w:r>
    </w:p>
    <w:p w:rsidR="009D7C78" w:rsidRDefault="009D7C78" w:rsidP="00B31F87">
      <w:pPr>
        <w:pStyle w:val="TSB-Level1Numbers"/>
        <w:numPr>
          <w:ilvl w:val="1"/>
          <w:numId w:val="21"/>
        </w:numPr>
        <w:ind w:hanging="290"/>
      </w:pPr>
      <w:r w:rsidRPr="00844783">
        <w:lastRenderedPageBreak/>
        <w:t>The</w:t>
      </w:r>
      <w:r w:rsidRPr="00FE35A9">
        <w:t xml:space="preserve"> </w:t>
      </w:r>
      <w:r w:rsidR="00FE35A9" w:rsidRPr="00FE35A9">
        <w:t xml:space="preserve">office </w:t>
      </w:r>
      <w:r w:rsidRPr="00FE35A9">
        <w:t xml:space="preserve">manager, in </w:t>
      </w:r>
      <w:r>
        <w:t xml:space="preserve">consultation with the </w:t>
      </w:r>
      <w:r w:rsidRPr="00FE35A9">
        <w:t>headteacher</w:t>
      </w:r>
      <w:r>
        <w:t xml:space="preserve">, </w:t>
      </w:r>
      <w:r w:rsidRPr="00FE35A9">
        <w:t>deputy headteacher</w:t>
      </w:r>
      <w:r>
        <w:t xml:space="preserve"> and </w:t>
      </w:r>
      <w:r w:rsidRPr="00FE35A9">
        <w:t>heads of (PE)</w:t>
      </w:r>
      <w:r>
        <w:t>, will ensure that there are appropriate arrangements for providing outside space for pupils to play and exercise safely.</w:t>
      </w:r>
    </w:p>
    <w:p w:rsidR="009D7C78" w:rsidRDefault="009D7C78" w:rsidP="00B31F87">
      <w:pPr>
        <w:pStyle w:val="TSB-Level1Numbers"/>
        <w:numPr>
          <w:ilvl w:val="1"/>
          <w:numId w:val="21"/>
        </w:numPr>
        <w:ind w:hanging="290"/>
      </w:pPr>
      <w:r>
        <w:t xml:space="preserve">The condition of all playground areas will be monitored </w:t>
      </w:r>
      <w:r w:rsidRPr="00844783">
        <w:t xml:space="preserve">by the </w:t>
      </w:r>
      <w:r w:rsidR="00FE35A9" w:rsidRPr="00FE35A9">
        <w:t>caretaker</w:t>
      </w:r>
      <w:r w:rsidRPr="00FE35A9">
        <w:t xml:space="preserve"> </w:t>
      </w:r>
      <w:r>
        <w:t>and deficiencies addressed.</w:t>
      </w:r>
    </w:p>
    <w:p w:rsidR="009D7C78" w:rsidRDefault="009D7C78" w:rsidP="00E533B5">
      <w:pPr>
        <w:pStyle w:val="Heading10"/>
      </w:pPr>
      <w:bookmarkStart w:id="35" w:name="_Health_and_safety"/>
      <w:bookmarkEnd w:id="35"/>
      <w:r>
        <w:t>Health and safety audit</w:t>
      </w:r>
    </w:p>
    <w:p w:rsidR="009D7C78" w:rsidRDefault="009D7C78" w:rsidP="00B31F87">
      <w:pPr>
        <w:pStyle w:val="TSB-Level1Numbers"/>
        <w:numPr>
          <w:ilvl w:val="1"/>
          <w:numId w:val="23"/>
        </w:numPr>
        <w:ind w:hanging="290"/>
      </w:pPr>
      <w:r w:rsidRPr="00844783">
        <w:t>The</w:t>
      </w:r>
      <w:r w:rsidRPr="00FE35A9">
        <w:t xml:space="preserve"> </w:t>
      </w:r>
      <w:r w:rsidR="00FE35A9" w:rsidRPr="00FE35A9">
        <w:t>office</w:t>
      </w:r>
      <w:r w:rsidRPr="00FE35A9">
        <w:t xml:space="preserve"> manager </w:t>
      </w:r>
      <w:r>
        <w:t>will ensure that the school’s premises are subject to a regular health and safety audit.</w:t>
      </w:r>
    </w:p>
    <w:p w:rsidR="009D7C78" w:rsidRDefault="009D7C78" w:rsidP="00B31F87">
      <w:pPr>
        <w:pStyle w:val="TSB-Level1Numbers"/>
        <w:numPr>
          <w:ilvl w:val="1"/>
          <w:numId w:val="23"/>
        </w:numPr>
        <w:ind w:hanging="290"/>
      </w:pPr>
      <w:r w:rsidRPr="00844783">
        <w:t>The</w:t>
      </w:r>
      <w:r w:rsidRPr="00FE35A9">
        <w:t xml:space="preserve"> </w:t>
      </w:r>
      <w:r w:rsidR="00FE35A9" w:rsidRPr="00FE35A9">
        <w:t>caretaker</w:t>
      </w:r>
      <w:r w:rsidRPr="000F02C3">
        <w:rPr>
          <w:color w:val="FFD008"/>
        </w:rPr>
        <w:t xml:space="preserve"> </w:t>
      </w:r>
      <w:r>
        <w:t xml:space="preserve">will monitor that risk assessments are completed annually for each department. </w:t>
      </w:r>
    </w:p>
    <w:p w:rsidR="0055675B" w:rsidRPr="0066208C" w:rsidRDefault="0055675B" w:rsidP="00E533B5">
      <w:pPr>
        <w:pStyle w:val="Heading10"/>
      </w:pPr>
      <w:bookmarkStart w:id="36" w:name="_Encountering_peafowl"/>
      <w:bookmarkStart w:id="37" w:name="_Resolving_disputes"/>
      <w:bookmarkStart w:id="38" w:name="_Inclusion"/>
      <w:bookmarkStart w:id="39" w:name="_Policy_review"/>
      <w:bookmarkEnd w:id="36"/>
      <w:bookmarkEnd w:id="37"/>
      <w:bookmarkEnd w:id="38"/>
      <w:bookmarkEnd w:id="39"/>
      <w:r w:rsidRPr="0066208C">
        <w:t>Policy review</w:t>
      </w:r>
    </w:p>
    <w:p w:rsidR="0055675B" w:rsidRPr="00540DFC" w:rsidRDefault="0055675B" w:rsidP="00B31F87">
      <w:pPr>
        <w:pStyle w:val="TSB-Level1Numbers"/>
        <w:numPr>
          <w:ilvl w:val="1"/>
          <w:numId w:val="22"/>
        </w:numPr>
        <w:ind w:hanging="290"/>
      </w:pPr>
      <w:r w:rsidRPr="007D26DA">
        <w:t>This policy is reviewed every</w:t>
      </w:r>
      <w:r w:rsidR="009176B1" w:rsidRPr="007D26DA">
        <w:t xml:space="preserve"> </w:t>
      </w:r>
      <w:r w:rsidR="009176B1" w:rsidRPr="00FE35A9">
        <w:t>two</w:t>
      </w:r>
      <w:r w:rsidRPr="00FE35A9">
        <w:t xml:space="preserve"> years</w:t>
      </w:r>
      <w:r w:rsidRPr="007D26DA">
        <w:t xml:space="preserve"> by the </w:t>
      </w:r>
      <w:r w:rsidR="00FE35A9" w:rsidRPr="00FE35A9">
        <w:t>caretaker</w:t>
      </w:r>
      <w:r w:rsidR="007F701D" w:rsidRPr="00FE35A9">
        <w:t xml:space="preserve"> </w:t>
      </w:r>
      <w:r w:rsidRPr="007D26DA">
        <w:t xml:space="preserve">and the </w:t>
      </w:r>
      <w:r w:rsidR="00D434B8" w:rsidRPr="00FE35A9">
        <w:t>h</w:t>
      </w:r>
      <w:r w:rsidRPr="00FE35A9">
        <w:t>eadteacher.</w:t>
      </w:r>
    </w:p>
    <w:p w:rsidR="002F6E9B" w:rsidRDefault="00D4482B" w:rsidP="00B31F87">
      <w:pPr>
        <w:pStyle w:val="TSB-Level1Numbers"/>
        <w:numPr>
          <w:ilvl w:val="1"/>
          <w:numId w:val="22"/>
        </w:numPr>
        <w:ind w:hanging="290"/>
        <w:sectPr w:rsidR="002F6E9B" w:rsidSect="003479CE">
          <w:headerReference w:type="even" r:id="rId13"/>
          <w:headerReference w:type="default" r:id="rId14"/>
          <w:footerReference w:type="default" r:id="rId15"/>
          <w:headerReference w:type="first" r:id="rId16"/>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r w:rsidRPr="007D26DA">
        <w:t xml:space="preserve">The scheduled review date for this policy is </w:t>
      </w:r>
      <w:r w:rsidR="00844783" w:rsidRPr="00FE35A9">
        <w:t>June 2019</w:t>
      </w:r>
      <w:r w:rsidRPr="007D26DA">
        <w:t xml:space="preserve">. </w:t>
      </w:r>
    </w:p>
    <w:p w:rsidR="0055675B" w:rsidRDefault="003479CE" w:rsidP="0068728F">
      <w:pPr>
        <w:spacing w:before="120" w:after="120" w:line="320" w:lineRule="exact"/>
        <w:jc w:val="both"/>
        <w:rPr>
          <w:b/>
          <w:sz w:val="32"/>
        </w:rPr>
      </w:pPr>
      <w:bookmarkStart w:id="40" w:name="_Appendix_1_–"/>
      <w:bookmarkStart w:id="41" w:name="_Appendix_4_-"/>
      <w:bookmarkStart w:id="42" w:name="_Appendix_2_–"/>
      <w:bookmarkStart w:id="43" w:name="_Appendix_2_–_1"/>
      <w:bookmarkStart w:id="44" w:name="a"/>
      <w:bookmarkStart w:id="45" w:name="appendix1"/>
      <w:bookmarkEnd w:id="40"/>
      <w:bookmarkEnd w:id="41"/>
      <w:bookmarkEnd w:id="42"/>
      <w:bookmarkEnd w:id="43"/>
      <w:bookmarkEnd w:id="44"/>
      <w:r>
        <w:rPr>
          <w:b/>
          <w:sz w:val="32"/>
        </w:rPr>
        <w:lastRenderedPageBreak/>
        <w:t xml:space="preserve">Appendix 1 – Health and </w:t>
      </w:r>
      <w:r w:rsidR="002F6E9B">
        <w:rPr>
          <w:b/>
          <w:sz w:val="32"/>
        </w:rPr>
        <w:t>S</w:t>
      </w:r>
      <w:r>
        <w:rPr>
          <w:b/>
          <w:sz w:val="32"/>
        </w:rPr>
        <w:t xml:space="preserve">afety </w:t>
      </w:r>
      <w:r w:rsidR="002F6E9B">
        <w:rPr>
          <w:b/>
          <w:sz w:val="32"/>
        </w:rPr>
        <w:t>A</w:t>
      </w:r>
      <w:r>
        <w:rPr>
          <w:b/>
          <w:sz w:val="32"/>
        </w:rPr>
        <w:t>udit</w:t>
      </w:r>
    </w:p>
    <w:p w:rsidR="003479CE" w:rsidRDefault="003479CE" w:rsidP="0068728F">
      <w:pPr>
        <w:spacing w:before="120" w:after="120" w:line="320" w:lineRule="exact"/>
        <w:jc w:val="both"/>
        <w:rPr>
          <w:b/>
          <w:sz w:val="3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2615"/>
        <w:gridCol w:w="2615"/>
        <w:gridCol w:w="2615"/>
        <w:gridCol w:w="2615"/>
      </w:tblGrid>
      <w:tr w:rsidR="003479CE" w:rsidTr="002F6E9B">
        <w:trPr>
          <w:tblHeader/>
        </w:trPr>
        <w:tc>
          <w:tcPr>
            <w:tcW w:w="1250" w:type="pct"/>
            <w:shd w:val="clear" w:color="auto" w:fill="FFD006" w:themeFill="accent6"/>
            <w:vAlign w:val="center"/>
          </w:tcPr>
          <w:p w:rsidR="003479CE" w:rsidRPr="00372224" w:rsidRDefault="003479CE" w:rsidP="003479CE">
            <w:pPr>
              <w:jc w:val="center"/>
              <w:rPr>
                <w:b/>
              </w:rPr>
            </w:pPr>
            <w:r w:rsidRPr="00372224">
              <w:rPr>
                <w:b/>
              </w:rPr>
              <w:t>Aspect</w:t>
            </w:r>
          </w:p>
        </w:tc>
        <w:tc>
          <w:tcPr>
            <w:tcW w:w="1250" w:type="pct"/>
            <w:shd w:val="clear" w:color="auto" w:fill="FFD006" w:themeFill="accent6"/>
            <w:vAlign w:val="center"/>
          </w:tcPr>
          <w:p w:rsidR="003479CE" w:rsidRPr="00372224" w:rsidRDefault="003479CE" w:rsidP="003479CE">
            <w:pPr>
              <w:jc w:val="center"/>
              <w:rPr>
                <w:b/>
              </w:rPr>
            </w:pPr>
            <w:r w:rsidRPr="00372224">
              <w:rPr>
                <w:b/>
              </w:rPr>
              <w:t>Existing document</w:t>
            </w:r>
            <w:r>
              <w:rPr>
                <w:b/>
              </w:rPr>
              <w:t xml:space="preserve"> (Y/N)</w:t>
            </w:r>
          </w:p>
        </w:tc>
        <w:tc>
          <w:tcPr>
            <w:tcW w:w="1250" w:type="pct"/>
            <w:shd w:val="clear" w:color="auto" w:fill="FFD006" w:themeFill="accent6"/>
            <w:vAlign w:val="center"/>
          </w:tcPr>
          <w:p w:rsidR="003479CE" w:rsidRPr="00372224" w:rsidRDefault="003479CE" w:rsidP="003479CE">
            <w:pPr>
              <w:jc w:val="center"/>
              <w:rPr>
                <w:b/>
              </w:rPr>
            </w:pPr>
            <w:r w:rsidRPr="00372224">
              <w:rPr>
                <w:b/>
              </w:rPr>
              <w:t>Requirement</w:t>
            </w:r>
          </w:p>
        </w:tc>
        <w:tc>
          <w:tcPr>
            <w:tcW w:w="1250" w:type="pct"/>
            <w:shd w:val="clear" w:color="auto" w:fill="FFD006" w:themeFill="accent6"/>
            <w:vAlign w:val="center"/>
          </w:tcPr>
          <w:p w:rsidR="003479CE" w:rsidRPr="00372224" w:rsidRDefault="003479CE" w:rsidP="003479CE">
            <w:pPr>
              <w:jc w:val="center"/>
              <w:rPr>
                <w:b/>
              </w:rPr>
            </w:pPr>
            <w:r w:rsidRPr="00372224">
              <w:rPr>
                <w:b/>
              </w:rPr>
              <w:t>Review date</w:t>
            </w:r>
          </w:p>
        </w:tc>
      </w:tr>
      <w:tr w:rsidR="003479CE" w:rsidTr="00844783">
        <w:trPr>
          <w:trHeight w:val="1020"/>
        </w:trPr>
        <w:tc>
          <w:tcPr>
            <w:tcW w:w="1250" w:type="pct"/>
            <w:vAlign w:val="center"/>
          </w:tcPr>
          <w:p w:rsidR="003479CE" w:rsidRDefault="003479CE" w:rsidP="006C4DB1">
            <w:pPr>
              <w:jc w:val="center"/>
            </w:pPr>
            <w:r>
              <w:t>Access audit</w:t>
            </w:r>
          </w:p>
        </w:tc>
        <w:tc>
          <w:tcPr>
            <w:tcW w:w="1250" w:type="pct"/>
          </w:tcPr>
          <w:p w:rsidR="003479CE" w:rsidRDefault="003479CE" w:rsidP="003479CE">
            <w:pPr>
              <w:jc w:val="both"/>
            </w:pPr>
          </w:p>
        </w:tc>
        <w:tc>
          <w:tcPr>
            <w:tcW w:w="1250" w:type="pct"/>
            <w:vAlign w:val="center"/>
          </w:tcPr>
          <w:p w:rsidR="003479CE" w:rsidRDefault="003479CE" w:rsidP="00844783">
            <w:r>
              <w:t xml:space="preserve">Survey, report and access statement covering learning, teaching and physical access.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Air condition</w:t>
            </w:r>
            <w:r w:rsidR="00844783">
              <w:t>ing</w:t>
            </w:r>
          </w:p>
        </w:tc>
        <w:tc>
          <w:tcPr>
            <w:tcW w:w="1250" w:type="pct"/>
          </w:tcPr>
          <w:p w:rsidR="003479CE" w:rsidRDefault="003479CE" w:rsidP="003479CE">
            <w:pPr>
              <w:jc w:val="both"/>
            </w:pPr>
          </w:p>
        </w:tc>
        <w:tc>
          <w:tcPr>
            <w:tcW w:w="1250" w:type="pct"/>
            <w:vAlign w:val="center"/>
          </w:tcPr>
          <w:p w:rsidR="003479CE" w:rsidRDefault="003479CE" w:rsidP="00844783">
            <w:r>
              <w:t xml:space="preserve">Dependent on refrigerant gas used, testing and servicing quarterly, six monthly or annually. Regular inspection required. ACEA – A/C Energy assessment every </w:t>
            </w:r>
            <w:r w:rsidR="00844783">
              <w:t>five</w:t>
            </w:r>
            <w:r>
              <w:t xml:space="preserve"> years.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Asbestos</w:t>
            </w:r>
          </w:p>
        </w:tc>
        <w:tc>
          <w:tcPr>
            <w:tcW w:w="1250" w:type="pct"/>
          </w:tcPr>
          <w:p w:rsidR="003479CE" w:rsidRDefault="003479CE" w:rsidP="003479CE">
            <w:pPr>
              <w:jc w:val="both"/>
            </w:pPr>
          </w:p>
        </w:tc>
        <w:tc>
          <w:tcPr>
            <w:tcW w:w="1250" w:type="pct"/>
            <w:vAlign w:val="center"/>
          </w:tcPr>
          <w:p w:rsidR="003479CE" w:rsidRDefault="003479CE" w:rsidP="00844783">
            <w:r>
              <w:t>Asbestos register and management plan.</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Car parking and vehicle/pedestrian segregation</w:t>
            </w:r>
          </w:p>
        </w:tc>
        <w:tc>
          <w:tcPr>
            <w:tcW w:w="1250" w:type="pct"/>
          </w:tcPr>
          <w:p w:rsidR="003479CE" w:rsidRDefault="003479CE" w:rsidP="003479CE">
            <w:pPr>
              <w:jc w:val="both"/>
            </w:pPr>
          </w:p>
        </w:tc>
        <w:tc>
          <w:tcPr>
            <w:tcW w:w="1250" w:type="pct"/>
            <w:vAlign w:val="center"/>
          </w:tcPr>
          <w:p w:rsidR="003479CE" w:rsidRDefault="003479CE" w:rsidP="00844783">
            <w:r>
              <w:t>General risk assessment required.</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Building and grounds condition survey</w:t>
            </w:r>
          </w:p>
        </w:tc>
        <w:tc>
          <w:tcPr>
            <w:tcW w:w="1250" w:type="pct"/>
          </w:tcPr>
          <w:p w:rsidR="003479CE" w:rsidRDefault="003479CE" w:rsidP="003479CE">
            <w:pPr>
              <w:jc w:val="both"/>
            </w:pPr>
          </w:p>
        </w:tc>
        <w:tc>
          <w:tcPr>
            <w:tcW w:w="1250" w:type="pct"/>
            <w:vAlign w:val="center"/>
          </w:tcPr>
          <w:p w:rsidR="003479CE" w:rsidRDefault="003479CE" w:rsidP="00844783">
            <w:r>
              <w:t>Inspection of building and facilities for asset management planning (AMP).</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Classroom assessment</w:t>
            </w:r>
          </w:p>
        </w:tc>
        <w:tc>
          <w:tcPr>
            <w:tcW w:w="1250" w:type="pct"/>
          </w:tcPr>
          <w:p w:rsidR="003479CE" w:rsidRDefault="003479CE" w:rsidP="003479CE">
            <w:pPr>
              <w:jc w:val="both"/>
            </w:pPr>
          </w:p>
        </w:tc>
        <w:tc>
          <w:tcPr>
            <w:tcW w:w="1250" w:type="pct"/>
            <w:vAlign w:val="center"/>
          </w:tcPr>
          <w:p w:rsidR="003479CE" w:rsidRDefault="003479CE" w:rsidP="00844783">
            <w:r>
              <w:t>Annual assessment with termly review.</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Control of substances hazardous to health (COSHH) risk assessment</w:t>
            </w:r>
          </w:p>
        </w:tc>
        <w:tc>
          <w:tcPr>
            <w:tcW w:w="1250" w:type="pct"/>
          </w:tcPr>
          <w:p w:rsidR="003479CE" w:rsidRDefault="003479CE" w:rsidP="003479CE">
            <w:pPr>
              <w:jc w:val="both"/>
            </w:pPr>
          </w:p>
        </w:tc>
        <w:tc>
          <w:tcPr>
            <w:tcW w:w="1250" w:type="pct"/>
            <w:vAlign w:val="center"/>
          </w:tcPr>
          <w:p w:rsidR="003479CE" w:rsidRDefault="003479CE" w:rsidP="00844783">
            <w:r>
              <w:t>For storage and use of any hazardous substances.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Display energy certificate (DEC)</w:t>
            </w:r>
          </w:p>
        </w:tc>
        <w:tc>
          <w:tcPr>
            <w:tcW w:w="1250" w:type="pct"/>
          </w:tcPr>
          <w:p w:rsidR="003479CE" w:rsidRPr="00271F09" w:rsidRDefault="003479CE" w:rsidP="003479CE">
            <w:pPr>
              <w:jc w:val="both"/>
            </w:pPr>
          </w:p>
        </w:tc>
        <w:tc>
          <w:tcPr>
            <w:tcW w:w="1250" w:type="pct"/>
            <w:vAlign w:val="center"/>
          </w:tcPr>
          <w:p w:rsidR="003479CE" w:rsidRPr="00271F09" w:rsidRDefault="003479CE" w:rsidP="00844783">
            <w:r w:rsidRPr="00271F09">
              <w:t>Requirement for buildings with floor area over 1000m² to display the energy use of the school buildings.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Duct hygiene (air conditioning, plenum heating)</w:t>
            </w:r>
          </w:p>
        </w:tc>
        <w:tc>
          <w:tcPr>
            <w:tcW w:w="1250" w:type="pct"/>
          </w:tcPr>
          <w:p w:rsidR="003479CE" w:rsidRDefault="003479CE" w:rsidP="003479CE">
            <w:pPr>
              <w:jc w:val="both"/>
            </w:pPr>
          </w:p>
        </w:tc>
        <w:tc>
          <w:tcPr>
            <w:tcW w:w="1250" w:type="pct"/>
            <w:vAlign w:val="center"/>
          </w:tcPr>
          <w:p w:rsidR="003479CE" w:rsidRDefault="003479CE" w:rsidP="00844783">
            <w:r>
              <w:t>Inspection and testing, thorough cleaning routine determined from testing/inspection results.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lastRenderedPageBreak/>
              <w:t>Electrical - Portable appliance testing (PAT)</w:t>
            </w:r>
          </w:p>
        </w:tc>
        <w:tc>
          <w:tcPr>
            <w:tcW w:w="1250" w:type="pct"/>
          </w:tcPr>
          <w:p w:rsidR="003479CE" w:rsidRDefault="003479CE" w:rsidP="003479CE">
            <w:pPr>
              <w:jc w:val="both"/>
            </w:pPr>
          </w:p>
        </w:tc>
        <w:tc>
          <w:tcPr>
            <w:tcW w:w="1250" w:type="pct"/>
            <w:vAlign w:val="center"/>
          </w:tcPr>
          <w:p w:rsidR="003479CE" w:rsidRDefault="003479CE" w:rsidP="00844783">
            <w:r>
              <w:t xml:space="preserve">Safety checking and testing of electrical appliances. </w:t>
            </w:r>
          </w:p>
        </w:tc>
        <w:tc>
          <w:tcPr>
            <w:tcW w:w="1250" w:type="pct"/>
          </w:tcPr>
          <w:p w:rsidR="003479CE" w:rsidRDefault="003479CE" w:rsidP="003479CE">
            <w:pPr>
              <w:jc w:val="both"/>
            </w:pPr>
          </w:p>
        </w:tc>
      </w:tr>
      <w:tr w:rsidR="003479CE" w:rsidTr="00844783">
        <w:trPr>
          <w:trHeight w:val="1020"/>
        </w:trPr>
        <w:tc>
          <w:tcPr>
            <w:tcW w:w="1250" w:type="pct"/>
            <w:vMerge w:val="restart"/>
            <w:vAlign w:val="center"/>
          </w:tcPr>
          <w:p w:rsidR="003479CE" w:rsidRDefault="003479CE" w:rsidP="006C4DB1">
            <w:pPr>
              <w:jc w:val="center"/>
            </w:pPr>
            <w:r>
              <w:t>Electrical – Fixed wire testing</w:t>
            </w:r>
          </w:p>
        </w:tc>
        <w:tc>
          <w:tcPr>
            <w:tcW w:w="1250" w:type="pct"/>
          </w:tcPr>
          <w:p w:rsidR="003479CE" w:rsidRDefault="003479CE" w:rsidP="003479CE">
            <w:pPr>
              <w:jc w:val="both"/>
            </w:pPr>
          </w:p>
          <w:p w:rsidR="003479CE" w:rsidRDefault="003479CE" w:rsidP="003479CE">
            <w:pPr>
              <w:jc w:val="both"/>
            </w:pPr>
          </w:p>
          <w:p w:rsidR="003479CE" w:rsidRDefault="003479CE" w:rsidP="003479CE">
            <w:pPr>
              <w:jc w:val="both"/>
            </w:pPr>
          </w:p>
          <w:p w:rsidR="003479CE" w:rsidRDefault="003479CE" w:rsidP="003479CE">
            <w:pPr>
              <w:jc w:val="both"/>
            </w:pPr>
          </w:p>
          <w:p w:rsidR="003479CE" w:rsidRDefault="003479CE" w:rsidP="003479CE">
            <w:pPr>
              <w:jc w:val="both"/>
            </w:pPr>
          </w:p>
        </w:tc>
        <w:tc>
          <w:tcPr>
            <w:tcW w:w="1250" w:type="pct"/>
            <w:vAlign w:val="center"/>
          </w:tcPr>
          <w:p w:rsidR="003479CE" w:rsidRDefault="003479CE" w:rsidP="00844783">
            <w:r w:rsidRPr="004C029A">
              <w:t xml:space="preserve">Testing of all fixed wiring boards and all distribution boards every </w:t>
            </w:r>
            <w:r w:rsidR="00844783">
              <w:t>three to five years</w:t>
            </w:r>
            <w:r w:rsidRPr="004C029A">
              <w:t>.</w:t>
            </w:r>
          </w:p>
        </w:tc>
        <w:tc>
          <w:tcPr>
            <w:tcW w:w="1250" w:type="pct"/>
          </w:tcPr>
          <w:p w:rsidR="003479CE" w:rsidRDefault="003479CE" w:rsidP="003479CE">
            <w:pPr>
              <w:jc w:val="both"/>
            </w:pPr>
          </w:p>
        </w:tc>
      </w:tr>
      <w:tr w:rsidR="003479CE" w:rsidTr="00844783">
        <w:trPr>
          <w:trHeight w:val="1020"/>
        </w:trPr>
        <w:tc>
          <w:tcPr>
            <w:tcW w:w="1250" w:type="pct"/>
            <w:vMerge/>
            <w:vAlign w:val="center"/>
          </w:tcPr>
          <w:p w:rsidR="003479CE" w:rsidRDefault="003479CE" w:rsidP="006C4DB1">
            <w:pPr>
              <w:jc w:val="center"/>
            </w:pPr>
          </w:p>
        </w:tc>
        <w:tc>
          <w:tcPr>
            <w:tcW w:w="1250" w:type="pct"/>
          </w:tcPr>
          <w:p w:rsidR="003479CE" w:rsidRDefault="003479CE" w:rsidP="003479CE">
            <w:pPr>
              <w:jc w:val="both"/>
            </w:pPr>
          </w:p>
        </w:tc>
        <w:tc>
          <w:tcPr>
            <w:tcW w:w="1250" w:type="pct"/>
            <w:vAlign w:val="center"/>
          </w:tcPr>
          <w:p w:rsidR="003479CE" w:rsidRDefault="003479CE" w:rsidP="00844783">
            <w:r>
              <w:t xml:space="preserve">Testing of all distribution boards in mobile accommodation annually. </w:t>
            </w:r>
          </w:p>
        </w:tc>
        <w:tc>
          <w:tcPr>
            <w:tcW w:w="1250" w:type="pct"/>
          </w:tcPr>
          <w:p w:rsidR="003479CE" w:rsidRDefault="003479CE" w:rsidP="003479CE">
            <w:pPr>
              <w:jc w:val="both"/>
            </w:pPr>
          </w:p>
        </w:tc>
      </w:tr>
      <w:tr w:rsidR="003479CE" w:rsidTr="00844783">
        <w:trPr>
          <w:trHeight w:val="1020"/>
        </w:trPr>
        <w:tc>
          <w:tcPr>
            <w:tcW w:w="1250" w:type="pct"/>
            <w:vMerge w:val="restart"/>
            <w:vAlign w:val="center"/>
          </w:tcPr>
          <w:p w:rsidR="003479CE" w:rsidRDefault="003479CE" w:rsidP="006C4DB1">
            <w:pPr>
              <w:jc w:val="center"/>
            </w:pPr>
            <w:r>
              <w:t>Electrical – Stage lighting</w:t>
            </w:r>
          </w:p>
        </w:tc>
        <w:tc>
          <w:tcPr>
            <w:tcW w:w="1250" w:type="pct"/>
          </w:tcPr>
          <w:p w:rsidR="003479CE" w:rsidRDefault="003479CE" w:rsidP="003479CE">
            <w:pPr>
              <w:jc w:val="both"/>
            </w:pPr>
          </w:p>
        </w:tc>
        <w:tc>
          <w:tcPr>
            <w:tcW w:w="1250" w:type="pct"/>
            <w:vAlign w:val="center"/>
          </w:tcPr>
          <w:p w:rsidR="003479CE" w:rsidRDefault="003479CE" w:rsidP="00844783">
            <w:r>
              <w:t>Annual test and inspection by a competent person.</w:t>
            </w:r>
          </w:p>
        </w:tc>
        <w:tc>
          <w:tcPr>
            <w:tcW w:w="1250" w:type="pct"/>
          </w:tcPr>
          <w:p w:rsidR="003479CE" w:rsidRDefault="003479CE" w:rsidP="003479CE">
            <w:pPr>
              <w:jc w:val="both"/>
            </w:pPr>
          </w:p>
        </w:tc>
      </w:tr>
      <w:tr w:rsidR="003479CE" w:rsidTr="00844783">
        <w:trPr>
          <w:trHeight w:val="1020"/>
        </w:trPr>
        <w:tc>
          <w:tcPr>
            <w:tcW w:w="1250" w:type="pct"/>
            <w:vMerge/>
            <w:vAlign w:val="center"/>
          </w:tcPr>
          <w:p w:rsidR="003479CE" w:rsidRDefault="003479CE" w:rsidP="006C4DB1">
            <w:pPr>
              <w:jc w:val="center"/>
            </w:pPr>
          </w:p>
        </w:tc>
        <w:tc>
          <w:tcPr>
            <w:tcW w:w="1250" w:type="pct"/>
          </w:tcPr>
          <w:p w:rsidR="003479CE" w:rsidRDefault="003479CE" w:rsidP="003479CE">
            <w:pPr>
              <w:jc w:val="both"/>
            </w:pPr>
          </w:p>
        </w:tc>
        <w:tc>
          <w:tcPr>
            <w:tcW w:w="1250" w:type="pct"/>
            <w:vAlign w:val="center"/>
          </w:tcPr>
          <w:p w:rsidR="003479CE" w:rsidRDefault="003479CE" w:rsidP="00844783">
            <w:r>
              <w:t xml:space="preserve">Inspection and testing of portable dimmer racks with no fixed cabling, plugs, sockets, flexible leads every </w:t>
            </w:r>
            <w:r w:rsidR="00844783">
              <w:t>three</w:t>
            </w:r>
            <w:r>
              <w:t xml:space="preserve"> months.</w:t>
            </w:r>
          </w:p>
        </w:tc>
        <w:tc>
          <w:tcPr>
            <w:tcW w:w="1250" w:type="pct"/>
          </w:tcPr>
          <w:p w:rsidR="003479CE" w:rsidRDefault="003479CE" w:rsidP="003479CE">
            <w:pPr>
              <w:jc w:val="both"/>
            </w:pPr>
          </w:p>
        </w:tc>
      </w:tr>
      <w:tr w:rsidR="003479CE" w:rsidTr="006C4DB1">
        <w:trPr>
          <w:trHeight w:val="1020"/>
        </w:trPr>
        <w:tc>
          <w:tcPr>
            <w:tcW w:w="1250" w:type="pct"/>
            <w:vAlign w:val="center"/>
          </w:tcPr>
          <w:p w:rsidR="003479CE" w:rsidRDefault="003479CE" w:rsidP="006C4DB1">
            <w:pPr>
              <w:jc w:val="center"/>
            </w:pPr>
            <w:r>
              <w:t>Emergency lighting</w:t>
            </w:r>
          </w:p>
        </w:tc>
        <w:tc>
          <w:tcPr>
            <w:tcW w:w="1250" w:type="pct"/>
          </w:tcPr>
          <w:p w:rsidR="003479CE" w:rsidRDefault="003479CE" w:rsidP="003479CE">
            <w:pPr>
              <w:jc w:val="both"/>
            </w:pPr>
          </w:p>
        </w:tc>
        <w:tc>
          <w:tcPr>
            <w:tcW w:w="1250" w:type="pct"/>
          </w:tcPr>
          <w:p w:rsidR="003479CE" w:rsidRDefault="003479CE" w:rsidP="003479CE">
            <w:r>
              <w:t xml:space="preserve">Inspection and testing of system, monthly checks by </w:t>
            </w:r>
            <w:r w:rsidRPr="00271F09">
              <w:t xml:space="preserve">the </w:t>
            </w:r>
            <w:r w:rsidR="00FE35A9">
              <w:rPr>
                <w:b/>
                <w:color w:val="FFD006"/>
              </w:rPr>
              <w:t>caretaker</w:t>
            </w:r>
            <w:r w:rsidRPr="00271F09">
              <w:rPr>
                <w:color w:val="FFD006"/>
              </w:rPr>
              <w:t xml:space="preserve"> </w:t>
            </w:r>
            <w:r w:rsidRPr="00271F09">
              <w:t>to check functionality</w:t>
            </w:r>
            <w:r w:rsidRPr="004C029A">
              <w:t xml:space="preserve"> and battery discharge tests.</w:t>
            </w:r>
          </w:p>
        </w:tc>
        <w:tc>
          <w:tcPr>
            <w:tcW w:w="1250" w:type="pct"/>
          </w:tcPr>
          <w:p w:rsidR="003479CE" w:rsidRDefault="003479CE" w:rsidP="003479CE">
            <w:pPr>
              <w:jc w:val="both"/>
            </w:pPr>
          </w:p>
        </w:tc>
      </w:tr>
      <w:tr w:rsidR="003479CE" w:rsidTr="00844783">
        <w:trPr>
          <w:trHeight w:val="1020"/>
        </w:trPr>
        <w:tc>
          <w:tcPr>
            <w:tcW w:w="1250" w:type="pct"/>
            <w:vMerge w:val="restart"/>
            <w:vAlign w:val="center"/>
          </w:tcPr>
          <w:p w:rsidR="003479CE" w:rsidRDefault="003479CE" w:rsidP="006C4DB1">
            <w:pPr>
              <w:jc w:val="center"/>
            </w:pPr>
            <w:r>
              <w:t>Extraction systems, including fume cupboards</w:t>
            </w:r>
          </w:p>
        </w:tc>
        <w:tc>
          <w:tcPr>
            <w:tcW w:w="1250" w:type="pct"/>
          </w:tcPr>
          <w:p w:rsidR="003479CE" w:rsidRDefault="003479CE" w:rsidP="003479CE">
            <w:pPr>
              <w:jc w:val="both"/>
            </w:pPr>
          </w:p>
        </w:tc>
        <w:tc>
          <w:tcPr>
            <w:tcW w:w="1250" w:type="pct"/>
            <w:vAlign w:val="center"/>
          </w:tcPr>
          <w:p w:rsidR="003479CE" w:rsidRDefault="003479CE" w:rsidP="00844783">
            <w:r>
              <w:t>Inspection and testing of dust extraction equipment.</w:t>
            </w:r>
          </w:p>
        </w:tc>
        <w:tc>
          <w:tcPr>
            <w:tcW w:w="1250" w:type="pct"/>
          </w:tcPr>
          <w:p w:rsidR="003479CE" w:rsidRDefault="003479CE" w:rsidP="003479CE">
            <w:pPr>
              <w:jc w:val="both"/>
            </w:pPr>
          </w:p>
        </w:tc>
      </w:tr>
      <w:tr w:rsidR="003479CE" w:rsidTr="00844783">
        <w:trPr>
          <w:trHeight w:val="1020"/>
        </w:trPr>
        <w:tc>
          <w:tcPr>
            <w:tcW w:w="1250" w:type="pct"/>
            <w:vMerge/>
            <w:vAlign w:val="center"/>
          </w:tcPr>
          <w:p w:rsidR="003479CE" w:rsidRDefault="003479CE" w:rsidP="006C4DB1">
            <w:pPr>
              <w:jc w:val="center"/>
            </w:pPr>
          </w:p>
        </w:tc>
        <w:tc>
          <w:tcPr>
            <w:tcW w:w="1250" w:type="pct"/>
          </w:tcPr>
          <w:p w:rsidR="003479CE" w:rsidRDefault="003479CE" w:rsidP="003479CE">
            <w:pPr>
              <w:jc w:val="both"/>
            </w:pPr>
          </w:p>
        </w:tc>
        <w:tc>
          <w:tcPr>
            <w:tcW w:w="1250" w:type="pct"/>
            <w:vAlign w:val="center"/>
          </w:tcPr>
          <w:p w:rsidR="003479CE" w:rsidRDefault="003479CE" w:rsidP="00844783">
            <w:r>
              <w:t xml:space="preserve">Local exhaust ventilation.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Fire risk assessment</w:t>
            </w:r>
          </w:p>
        </w:tc>
        <w:tc>
          <w:tcPr>
            <w:tcW w:w="1250" w:type="pct"/>
          </w:tcPr>
          <w:p w:rsidR="003479CE" w:rsidRDefault="003479CE" w:rsidP="003479CE">
            <w:pPr>
              <w:jc w:val="both"/>
            </w:pPr>
          </w:p>
        </w:tc>
        <w:tc>
          <w:tcPr>
            <w:tcW w:w="1250" w:type="pct"/>
            <w:vAlign w:val="center"/>
          </w:tcPr>
          <w:p w:rsidR="003479CE" w:rsidRDefault="003479CE" w:rsidP="00844783">
            <w:r>
              <w:t>Inspection and annual review, or whenever any changes are made that will affect the assessment.</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Fire alarm and detection systems</w:t>
            </w:r>
          </w:p>
        </w:tc>
        <w:tc>
          <w:tcPr>
            <w:tcW w:w="1250" w:type="pct"/>
          </w:tcPr>
          <w:p w:rsidR="003479CE" w:rsidRDefault="003479CE" w:rsidP="003479CE">
            <w:pPr>
              <w:jc w:val="both"/>
            </w:pPr>
          </w:p>
        </w:tc>
        <w:tc>
          <w:tcPr>
            <w:tcW w:w="1250" w:type="pct"/>
            <w:vAlign w:val="center"/>
          </w:tcPr>
          <w:p w:rsidR="003479CE" w:rsidRDefault="003479CE" w:rsidP="00844783">
            <w:r>
              <w:t xml:space="preserve">Weekly </w:t>
            </w:r>
            <w:r w:rsidR="006C4DB1">
              <w:t xml:space="preserve">fire </w:t>
            </w:r>
            <w:r>
              <w:t xml:space="preserve">bell test, six monthly fire drill and annual service and inspection.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lastRenderedPageBreak/>
              <w:t>Fire doors</w:t>
            </w:r>
          </w:p>
        </w:tc>
        <w:tc>
          <w:tcPr>
            <w:tcW w:w="1250" w:type="pct"/>
          </w:tcPr>
          <w:p w:rsidR="003479CE" w:rsidRDefault="003479CE" w:rsidP="003479CE">
            <w:pPr>
              <w:jc w:val="both"/>
            </w:pPr>
          </w:p>
        </w:tc>
        <w:tc>
          <w:tcPr>
            <w:tcW w:w="1250" w:type="pct"/>
            <w:vAlign w:val="center"/>
          </w:tcPr>
          <w:p w:rsidR="003479CE" w:rsidRDefault="003479CE" w:rsidP="00844783">
            <w:r>
              <w:t>Check correct functioning regularly.</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Fire extinguishers and appliances</w:t>
            </w:r>
          </w:p>
        </w:tc>
        <w:tc>
          <w:tcPr>
            <w:tcW w:w="1250" w:type="pct"/>
          </w:tcPr>
          <w:p w:rsidR="003479CE" w:rsidRDefault="003479CE" w:rsidP="003479CE">
            <w:pPr>
              <w:jc w:val="both"/>
            </w:pPr>
          </w:p>
        </w:tc>
        <w:tc>
          <w:tcPr>
            <w:tcW w:w="1250" w:type="pct"/>
            <w:vAlign w:val="center"/>
          </w:tcPr>
          <w:p w:rsidR="003479CE" w:rsidRDefault="003479CE" w:rsidP="00844783">
            <w:r>
              <w:t>Inspection and testing of equipment, if</w:t>
            </w:r>
            <w:r w:rsidR="006C4DB1">
              <w:t xml:space="preserve"> a</w:t>
            </w:r>
            <w:r>
              <w:t xml:space="preserve"> sprinkler</w:t>
            </w:r>
            <w:r w:rsidR="006C4DB1">
              <w:t xml:space="preserve"> is</w:t>
            </w:r>
            <w:r>
              <w:t xml:space="preserve"> installed</w:t>
            </w:r>
            <w:r w:rsidR="006C4DB1">
              <w:t>,</w:t>
            </w:r>
            <w:r>
              <w:t xml:space="preserve"> this may need more frequent testing to comply with insurance requirements.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First aid equipment</w:t>
            </w:r>
          </w:p>
        </w:tc>
        <w:tc>
          <w:tcPr>
            <w:tcW w:w="1250" w:type="pct"/>
          </w:tcPr>
          <w:p w:rsidR="003479CE" w:rsidRDefault="003479CE" w:rsidP="003479CE">
            <w:pPr>
              <w:jc w:val="both"/>
            </w:pPr>
          </w:p>
        </w:tc>
        <w:tc>
          <w:tcPr>
            <w:tcW w:w="1250" w:type="pct"/>
            <w:vAlign w:val="center"/>
          </w:tcPr>
          <w:p w:rsidR="003479CE" w:rsidRDefault="003479CE" w:rsidP="00844783">
            <w:r>
              <w:t xml:space="preserve">Regular checks recommended </w:t>
            </w:r>
            <w:r w:rsidR="006C4DB1">
              <w:t>replenishing equipment/stock and replacing</w:t>
            </w:r>
            <w:r>
              <w:t xml:space="preserve"> out-of-date items.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Floor plans</w:t>
            </w:r>
          </w:p>
        </w:tc>
        <w:tc>
          <w:tcPr>
            <w:tcW w:w="1250" w:type="pct"/>
          </w:tcPr>
          <w:p w:rsidR="003479CE" w:rsidRDefault="003479CE" w:rsidP="003479CE">
            <w:pPr>
              <w:jc w:val="both"/>
            </w:pPr>
          </w:p>
        </w:tc>
        <w:tc>
          <w:tcPr>
            <w:tcW w:w="1250" w:type="pct"/>
            <w:vAlign w:val="center"/>
          </w:tcPr>
          <w:p w:rsidR="003479CE" w:rsidRDefault="006C4DB1" w:rsidP="00844783">
            <w:r>
              <w:t>U</w:t>
            </w:r>
            <w:r w:rsidR="003479CE">
              <w:t xml:space="preserve">p-to-date floor and roof plans are </w:t>
            </w:r>
            <w:r>
              <w:t>created</w:t>
            </w:r>
            <w:r w:rsidR="003479CE">
              <w:t xml:space="preserve"> when changes are made</w:t>
            </w:r>
            <w:r>
              <w:t>.</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Fuel oil storage</w:t>
            </w:r>
          </w:p>
        </w:tc>
        <w:tc>
          <w:tcPr>
            <w:tcW w:w="1250" w:type="pct"/>
          </w:tcPr>
          <w:p w:rsidR="003479CE" w:rsidRDefault="003479CE" w:rsidP="003479CE">
            <w:pPr>
              <w:jc w:val="both"/>
            </w:pPr>
          </w:p>
        </w:tc>
        <w:tc>
          <w:tcPr>
            <w:tcW w:w="1250" w:type="pct"/>
            <w:vAlign w:val="center"/>
          </w:tcPr>
          <w:p w:rsidR="003479CE" w:rsidRDefault="003479CE" w:rsidP="00844783">
            <w:r>
              <w:t xml:space="preserve">Plan of pipework and main isolation points annual update. Visual inspection and maintenance checks on all pipework devices.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Gas safety</w:t>
            </w:r>
          </w:p>
        </w:tc>
        <w:tc>
          <w:tcPr>
            <w:tcW w:w="1250" w:type="pct"/>
          </w:tcPr>
          <w:p w:rsidR="003479CE" w:rsidRDefault="003479CE" w:rsidP="003479CE">
            <w:pPr>
              <w:jc w:val="both"/>
            </w:pPr>
          </w:p>
        </w:tc>
        <w:tc>
          <w:tcPr>
            <w:tcW w:w="1250" w:type="pct"/>
            <w:vAlign w:val="center"/>
          </w:tcPr>
          <w:p w:rsidR="003479CE" w:rsidRDefault="003479CE" w:rsidP="00844783">
            <w:r>
              <w:t>Inspection and certification, identification and location of gas equipment and supplies – update.</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Gas appliance</w:t>
            </w:r>
          </w:p>
        </w:tc>
        <w:tc>
          <w:tcPr>
            <w:tcW w:w="1250" w:type="pct"/>
          </w:tcPr>
          <w:p w:rsidR="003479CE" w:rsidRDefault="003479CE" w:rsidP="003479CE">
            <w:pPr>
              <w:jc w:val="both"/>
            </w:pPr>
          </w:p>
        </w:tc>
        <w:tc>
          <w:tcPr>
            <w:tcW w:w="1250" w:type="pct"/>
            <w:vAlign w:val="center"/>
          </w:tcPr>
          <w:p w:rsidR="003479CE" w:rsidRDefault="003479CE" w:rsidP="00844783">
            <w:r>
              <w:t>Annual servicing for efficient operation and combustion.</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Gas pipework</w:t>
            </w:r>
          </w:p>
        </w:tc>
        <w:tc>
          <w:tcPr>
            <w:tcW w:w="1250" w:type="pct"/>
          </w:tcPr>
          <w:p w:rsidR="003479CE" w:rsidRDefault="003479CE" w:rsidP="003479CE">
            <w:pPr>
              <w:jc w:val="both"/>
            </w:pPr>
          </w:p>
        </w:tc>
        <w:tc>
          <w:tcPr>
            <w:tcW w:w="1250" w:type="pct"/>
            <w:vAlign w:val="center"/>
          </w:tcPr>
          <w:p w:rsidR="003479CE" w:rsidRDefault="003479CE" w:rsidP="00844783">
            <w:r>
              <w:t>Visual inspection and testing.</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Glazing</w:t>
            </w:r>
          </w:p>
        </w:tc>
        <w:tc>
          <w:tcPr>
            <w:tcW w:w="1250" w:type="pct"/>
          </w:tcPr>
          <w:p w:rsidR="003479CE" w:rsidRDefault="003479CE" w:rsidP="003479CE">
            <w:pPr>
              <w:jc w:val="both"/>
            </w:pPr>
          </w:p>
        </w:tc>
        <w:tc>
          <w:tcPr>
            <w:tcW w:w="1250" w:type="pct"/>
            <w:vAlign w:val="center"/>
          </w:tcPr>
          <w:p w:rsidR="003479CE" w:rsidRDefault="003479CE" w:rsidP="00844783">
            <w:r>
              <w:t>Requirement to survey buildings to identify where safety glazing should be and ongoing checks that any replacements are with the required glazing.</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lastRenderedPageBreak/>
              <w:t>Hydrotherapy and swimming pools</w:t>
            </w:r>
          </w:p>
        </w:tc>
        <w:tc>
          <w:tcPr>
            <w:tcW w:w="1250" w:type="pct"/>
          </w:tcPr>
          <w:p w:rsidR="003479CE" w:rsidRDefault="003479CE" w:rsidP="003479CE">
            <w:pPr>
              <w:jc w:val="both"/>
            </w:pPr>
          </w:p>
        </w:tc>
        <w:tc>
          <w:tcPr>
            <w:tcW w:w="1250" w:type="pct"/>
            <w:vAlign w:val="center"/>
          </w:tcPr>
          <w:p w:rsidR="003479CE" w:rsidRDefault="003479CE" w:rsidP="00844783">
            <w:r>
              <w:t>Risk assessment updated annually.</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Incoming services and isolation points</w:t>
            </w:r>
          </w:p>
        </w:tc>
        <w:tc>
          <w:tcPr>
            <w:tcW w:w="1250" w:type="pct"/>
          </w:tcPr>
          <w:p w:rsidR="003479CE" w:rsidRDefault="003479CE" w:rsidP="003479CE">
            <w:pPr>
              <w:jc w:val="both"/>
            </w:pPr>
          </w:p>
        </w:tc>
        <w:tc>
          <w:tcPr>
            <w:tcW w:w="1250" w:type="pct"/>
            <w:vAlign w:val="center"/>
          </w:tcPr>
          <w:p w:rsidR="003479CE" w:rsidRDefault="003479CE" w:rsidP="00844783">
            <w:r>
              <w:t>Do you know where your incoming water, gas and electrical mains are? This is useful for emergency planning in the case of an unexpected event.</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Lifts and hoists</w:t>
            </w:r>
          </w:p>
        </w:tc>
        <w:tc>
          <w:tcPr>
            <w:tcW w:w="1250" w:type="pct"/>
          </w:tcPr>
          <w:p w:rsidR="003479CE" w:rsidRDefault="003479CE" w:rsidP="003479CE">
            <w:pPr>
              <w:jc w:val="both"/>
            </w:pPr>
          </w:p>
        </w:tc>
        <w:tc>
          <w:tcPr>
            <w:tcW w:w="1250" w:type="pct"/>
            <w:vAlign w:val="center"/>
          </w:tcPr>
          <w:p w:rsidR="003479CE" w:rsidRDefault="003479CE" w:rsidP="00844783">
            <w:r>
              <w:t>Thorough examination, full maintenance and inspection.</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Lightning conductors</w:t>
            </w:r>
          </w:p>
        </w:tc>
        <w:tc>
          <w:tcPr>
            <w:tcW w:w="1250" w:type="pct"/>
          </w:tcPr>
          <w:p w:rsidR="003479CE" w:rsidRDefault="003479CE" w:rsidP="003479CE">
            <w:pPr>
              <w:jc w:val="both"/>
            </w:pPr>
          </w:p>
        </w:tc>
        <w:tc>
          <w:tcPr>
            <w:tcW w:w="1250" w:type="pct"/>
            <w:vAlign w:val="center"/>
          </w:tcPr>
          <w:p w:rsidR="003479CE" w:rsidRDefault="003479CE" w:rsidP="00844783">
            <w:r>
              <w:t>Inspection and full test to assess adequacy of earthing, evidence of corrosion.</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Mobile classroom stability</w:t>
            </w:r>
          </w:p>
        </w:tc>
        <w:tc>
          <w:tcPr>
            <w:tcW w:w="1250" w:type="pct"/>
          </w:tcPr>
          <w:p w:rsidR="003479CE" w:rsidRDefault="003479CE" w:rsidP="003479CE">
            <w:pPr>
              <w:jc w:val="both"/>
            </w:pPr>
          </w:p>
        </w:tc>
        <w:tc>
          <w:tcPr>
            <w:tcW w:w="1250" w:type="pct"/>
            <w:vAlign w:val="center"/>
          </w:tcPr>
          <w:p w:rsidR="003479CE" w:rsidRDefault="003479CE" w:rsidP="00844783">
            <w:r>
              <w:t>Structural inspection of mobile classrooms.</w:t>
            </w:r>
          </w:p>
        </w:tc>
        <w:tc>
          <w:tcPr>
            <w:tcW w:w="1250" w:type="pct"/>
          </w:tcPr>
          <w:p w:rsidR="003479CE" w:rsidRDefault="003479CE" w:rsidP="003479CE">
            <w:pPr>
              <w:jc w:val="both"/>
            </w:pPr>
          </w:p>
        </w:tc>
      </w:tr>
      <w:tr w:rsidR="003479CE" w:rsidTr="00844783">
        <w:trPr>
          <w:trHeight w:val="1020"/>
        </w:trPr>
        <w:tc>
          <w:tcPr>
            <w:tcW w:w="1250" w:type="pct"/>
            <w:vMerge w:val="restart"/>
            <w:vAlign w:val="center"/>
          </w:tcPr>
          <w:p w:rsidR="003479CE" w:rsidRDefault="003479CE" w:rsidP="006C4DB1">
            <w:pPr>
              <w:jc w:val="center"/>
            </w:pPr>
            <w:r>
              <w:t>Planned preventative maintenance (PMP)</w:t>
            </w:r>
          </w:p>
        </w:tc>
        <w:tc>
          <w:tcPr>
            <w:tcW w:w="1250" w:type="pct"/>
          </w:tcPr>
          <w:p w:rsidR="003479CE" w:rsidRDefault="003479CE" w:rsidP="003479CE">
            <w:pPr>
              <w:jc w:val="both"/>
            </w:pPr>
          </w:p>
        </w:tc>
        <w:tc>
          <w:tcPr>
            <w:tcW w:w="1250" w:type="pct"/>
            <w:vAlign w:val="center"/>
          </w:tcPr>
          <w:p w:rsidR="003479CE" w:rsidRDefault="003479CE" w:rsidP="00844783">
            <w:r>
              <w:t>Do you have a PMP in place for all your buildings, plant and equipment?</w:t>
            </w:r>
          </w:p>
        </w:tc>
        <w:tc>
          <w:tcPr>
            <w:tcW w:w="1250" w:type="pct"/>
          </w:tcPr>
          <w:p w:rsidR="003479CE" w:rsidRDefault="003479CE" w:rsidP="003479CE">
            <w:pPr>
              <w:jc w:val="both"/>
            </w:pPr>
          </w:p>
        </w:tc>
      </w:tr>
      <w:tr w:rsidR="003479CE" w:rsidTr="00844783">
        <w:trPr>
          <w:trHeight w:val="1020"/>
        </w:trPr>
        <w:tc>
          <w:tcPr>
            <w:tcW w:w="1250" w:type="pct"/>
            <w:vMerge/>
            <w:vAlign w:val="center"/>
          </w:tcPr>
          <w:p w:rsidR="003479CE" w:rsidRDefault="003479CE" w:rsidP="006C4DB1">
            <w:pPr>
              <w:jc w:val="center"/>
            </w:pPr>
          </w:p>
        </w:tc>
        <w:tc>
          <w:tcPr>
            <w:tcW w:w="1250" w:type="pct"/>
          </w:tcPr>
          <w:p w:rsidR="003479CE" w:rsidRDefault="003479CE" w:rsidP="003479CE">
            <w:pPr>
              <w:jc w:val="both"/>
            </w:pPr>
          </w:p>
        </w:tc>
        <w:tc>
          <w:tcPr>
            <w:tcW w:w="1250" w:type="pct"/>
            <w:vAlign w:val="center"/>
          </w:tcPr>
          <w:p w:rsidR="003479CE" w:rsidRDefault="003479CE" w:rsidP="00844783">
            <w:r>
              <w:t>Do you have current servicing records?</w:t>
            </w:r>
          </w:p>
        </w:tc>
        <w:tc>
          <w:tcPr>
            <w:tcW w:w="1250" w:type="pct"/>
          </w:tcPr>
          <w:p w:rsidR="003479CE" w:rsidRDefault="003479CE" w:rsidP="003479CE">
            <w:pPr>
              <w:jc w:val="both"/>
            </w:pPr>
          </w:p>
        </w:tc>
      </w:tr>
      <w:tr w:rsidR="003479CE" w:rsidTr="00844783">
        <w:trPr>
          <w:trHeight w:val="1020"/>
        </w:trPr>
        <w:tc>
          <w:tcPr>
            <w:tcW w:w="1250" w:type="pct"/>
            <w:vMerge/>
            <w:vAlign w:val="center"/>
          </w:tcPr>
          <w:p w:rsidR="003479CE" w:rsidRDefault="003479CE" w:rsidP="006C4DB1">
            <w:pPr>
              <w:jc w:val="center"/>
            </w:pPr>
          </w:p>
        </w:tc>
        <w:tc>
          <w:tcPr>
            <w:tcW w:w="1250" w:type="pct"/>
          </w:tcPr>
          <w:p w:rsidR="003479CE" w:rsidRDefault="003479CE" w:rsidP="003479CE">
            <w:pPr>
              <w:jc w:val="both"/>
            </w:pPr>
          </w:p>
        </w:tc>
        <w:tc>
          <w:tcPr>
            <w:tcW w:w="1250" w:type="pct"/>
            <w:vAlign w:val="center"/>
          </w:tcPr>
          <w:p w:rsidR="003479CE" w:rsidRDefault="003479CE" w:rsidP="00844783">
            <w:r>
              <w:t>Do you carry out annual maintenance inspections?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Fixed playground and gym equipment</w:t>
            </w:r>
          </w:p>
        </w:tc>
        <w:tc>
          <w:tcPr>
            <w:tcW w:w="1250" w:type="pct"/>
          </w:tcPr>
          <w:p w:rsidR="003479CE" w:rsidRDefault="003479CE" w:rsidP="003479CE">
            <w:pPr>
              <w:jc w:val="both"/>
            </w:pPr>
          </w:p>
        </w:tc>
        <w:tc>
          <w:tcPr>
            <w:tcW w:w="1250" w:type="pct"/>
            <w:vAlign w:val="center"/>
          </w:tcPr>
          <w:p w:rsidR="003479CE" w:rsidRDefault="003479CE" w:rsidP="00844783">
            <w:r>
              <w:t>Inspection and testing.</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Radon</w:t>
            </w:r>
          </w:p>
        </w:tc>
        <w:tc>
          <w:tcPr>
            <w:tcW w:w="1250" w:type="pct"/>
          </w:tcPr>
          <w:p w:rsidR="003479CE" w:rsidRDefault="003479CE" w:rsidP="003479CE">
            <w:pPr>
              <w:jc w:val="both"/>
            </w:pPr>
          </w:p>
        </w:tc>
        <w:tc>
          <w:tcPr>
            <w:tcW w:w="1250" w:type="pct"/>
            <w:vAlign w:val="center"/>
          </w:tcPr>
          <w:p w:rsidR="003479CE" w:rsidRDefault="003479CE" w:rsidP="00844783">
            <w:r>
              <w:t>Risk assessment</w:t>
            </w:r>
            <w:r w:rsidR="006C4DB1">
              <w:t xml:space="preserve"> carried out and updated as necessary.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lastRenderedPageBreak/>
              <w:t>Shared premises</w:t>
            </w:r>
          </w:p>
        </w:tc>
        <w:tc>
          <w:tcPr>
            <w:tcW w:w="1250" w:type="pct"/>
          </w:tcPr>
          <w:p w:rsidR="003479CE" w:rsidRDefault="003479CE" w:rsidP="003479CE">
            <w:pPr>
              <w:jc w:val="both"/>
            </w:pPr>
          </w:p>
        </w:tc>
        <w:tc>
          <w:tcPr>
            <w:tcW w:w="1250" w:type="pct"/>
            <w:vAlign w:val="center"/>
          </w:tcPr>
          <w:p w:rsidR="003479CE" w:rsidRDefault="003479CE" w:rsidP="00844783">
            <w:r>
              <w:t xml:space="preserve">Risk assessment </w:t>
            </w:r>
            <w:r w:rsidR="006C4DB1" w:rsidRPr="006C4DB1">
              <w:t>carried out and updated as necessary.</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Slips and trips</w:t>
            </w:r>
          </w:p>
        </w:tc>
        <w:tc>
          <w:tcPr>
            <w:tcW w:w="1250" w:type="pct"/>
          </w:tcPr>
          <w:p w:rsidR="003479CE" w:rsidRDefault="003479CE" w:rsidP="003479CE">
            <w:pPr>
              <w:jc w:val="both"/>
            </w:pPr>
          </w:p>
        </w:tc>
        <w:tc>
          <w:tcPr>
            <w:tcW w:w="1250" w:type="pct"/>
            <w:vAlign w:val="center"/>
          </w:tcPr>
          <w:p w:rsidR="003479CE" w:rsidRDefault="003479CE" w:rsidP="00844783">
            <w:r>
              <w:t>Risk assessment</w:t>
            </w:r>
            <w:r w:rsidR="006C4DB1">
              <w:t xml:space="preserve"> </w:t>
            </w:r>
            <w:r w:rsidR="006C4DB1" w:rsidRPr="006C4DB1">
              <w:t>carried out and updated as necessary.</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Tree safety</w:t>
            </w:r>
          </w:p>
        </w:tc>
        <w:tc>
          <w:tcPr>
            <w:tcW w:w="1250" w:type="pct"/>
          </w:tcPr>
          <w:p w:rsidR="003479CE" w:rsidRDefault="003479CE" w:rsidP="003479CE">
            <w:pPr>
              <w:jc w:val="both"/>
            </w:pPr>
          </w:p>
        </w:tc>
        <w:tc>
          <w:tcPr>
            <w:tcW w:w="1250" w:type="pct"/>
            <w:vAlign w:val="center"/>
          </w:tcPr>
          <w:p w:rsidR="003479CE" w:rsidRDefault="003479CE" w:rsidP="00844783">
            <w:r>
              <w:t>Risk assessment</w:t>
            </w:r>
            <w:r w:rsidR="006C4DB1">
              <w:t xml:space="preserve"> </w:t>
            </w:r>
            <w:r w:rsidR="006C4DB1" w:rsidRPr="006C4DB1">
              <w:t>carried out and updated as necessary.</w:t>
            </w:r>
          </w:p>
        </w:tc>
        <w:tc>
          <w:tcPr>
            <w:tcW w:w="1250" w:type="pct"/>
          </w:tcPr>
          <w:p w:rsidR="003479CE" w:rsidRDefault="003479CE" w:rsidP="003479CE">
            <w:pPr>
              <w:jc w:val="both"/>
            </w:pPr>
          </w:p>
        </w:tc>
      </w:tr>
      <w:tr w:rsidR="003479CE" w:rsidTr="00844783">
        <w:trPr>
          <w:trHeight w:val="1020"/>
        </w:trPr>
        <w:tc>
          <w:tcPr>
            <w:tcW w:w="1250" w:type="pct"/>
            <w:vAlign w:val="center"/>
          </w:tcPr>
          <w:p w:rsidR="006C4DB1" w:rsidRDefault="003479CE" w:rsidP="006C4DB1">
            <w:pPr>
              <w:jc w:val="center"/>
            </w:pPr>
            <w:r>
              <w:t xml:space="preserve">Water hygiene and safety, legionnaires’ disease – </w:t>
            </w:r>
          </w:p>
          <w:p w:rsidR="003479CE" w:rsidRDefault="006C4DB1" w:rsidP="006C4DB1">
            <w:pPr>
              <w:jc w:val="center"/>
            </w:pPr>
            <w:r>
              <w:t>w</w:t>
            </w:r>
            <w:r w:rsidR="003479CE">
              <w:t>ater systems, cold water systems</w:t>
            </w:r>
          </w:p>
        </w:tc>
        <w:tc>
          <w:tcPr>
            <w:tcW w:w="1250" w:type="pct"/>
          </w:tcPr>
          <w:p w:rsidR="003479CE" w:rsidRDefault="003479CE" w:rsidP="003479CE">
            <w:pPr>
              <w:jc w:val="both"/>
            </w:pPr>
          </w:p>
        </w:tc>
        <w:tc>
          <w:tcPr>
            <w:tcW w:w="1250" w:type="pct"/>
            <w:vAlign w:val="center"/>
          </w:tcPr>
          <w:p w:rsidR="003479CE" w:rsidRDefault="003479CE" w:rsidP="00844783">
            <w:r>
              <w:t>Risk assessment and management plan for setting control measures where risks of legionella are identified.</w:t>
            </w:r>
            <w:r>
              <w:rPr>
                <w:rStyle w:val="CommentReference"/>
              </w:rPr>
              <w:t xml:space="preserve"> </w:t>
            </w:r>
            <w:r>
              <w:t>Visual condition and compliance inspection.</w:t>
            </w:r>
          </w:p>
          <w:p w:rsidR="003479CE" w:rsidRDefault="003479CE" w:rsidP="00844783">
            <w:r>
              <w:t>Tank condition</w:t>
            </w:r>
            <w:r w:rsidR="006C4DB1">
              <w:t xml:space="preserve"> and</w:t>
            </w:r>
          </w:p>
          <w:p w:rsidR="003479CE" w:rsidRDefault="006C4DB1" w:rsidP="00844783">
            <w:r>
              <w:t>w</w:t>
            </w:r>
            <w:r w:rsidR="003479CE">
              <w:t>ater quality checks</w:t>
            </w:r>
            <w:r>
              <w:t xml:space="preserve"> will be regularly undertaken</w:t>
            </w:r>
            <w:r w:rsidR="003479CE">
              <w:t>.</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Legionnaires’ disease – Low pressure hot water systems</w:t>
            </w:r>
          </w:p>
        </w:tc>
        <w:tc>
          <w:tcPr>
            <w:tcW w:w="1250" w:type="pct"/>
          </w:tcPr>
          <w:p w:rsidR="003479CE" w:rsidRDefault="003479CE" w:rsidP="003479CE">
            <w:pPr>
              <w:jc w:val="both"/>
            </w:pPr>
          </w:p>
        </w:tc>
        <w:tc>
          <w:tcPr>
            <w:tcW w:w="1250" w:type="pct"/>
            <w:vAlign w:val="center"/>
          </w:tcPr>
          <w:p w:rsidR="003479CE" w:rsidRDefault="003479CE" w:rsidP="00844783">
            <w:r>
              <w:t xml:space="preserve">Visual condition inspection. Maintenance checks on all pipe work, devices, valves, pumps etc. </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Water and surface temperature</w:t>
            </w:r>
          </w:p>
        </w:tc>
        <w:tc>
          <w:tcPr>
            <w:tcW w:w="1250" w:type="pct"/>
          </w:tcPr>
          <w:p w:rsidR="003479CE" w:rsidRDefault="003479CE" w:rsidP="003479CE">
            <w:pPr>
              <w:jc w:val="both"/>
            </w:pPr>
          </w:p>
        </w:tc>
        <w:tc>
          <w:tcPr>
            <w:tcW w:w="1250" w:type="pct"/>
            <w:vAlign w:val="center"/>
          </w:tcPr>
          <w:p w:rsidR="003479CE" w:rsidRDefault="003479CE" w:rsidP="00844783">
            <w:r>
              <w:t>Risk assessment and/or review.</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Workstation assessment</w:t>
            </w:r>
          </w:p>
        </w:tc>
        <w:tc>
          <w:tcPr>
            <w:tcW w:w="1250" w:type="pct"/>
          </w:tcPr>
          <w:p w:rsidR="003479CE" w:rsidRDefault="003479CE" w:rsidP="003479CE">
            <w:pPr>
              <w:jc w:val="both"/>
            </w:pPr>
          </w:p>
        </w:tc>
        <w:tc>
          <w:tcPr>
            <w:tcW w:w="1250" w:type="pct"/>
            <w:vAlign w:val="center"/>
          </w:tcPr>
          <w:p w:rsidR="003479CE" w:rsidRDefault="003479CE" w:rsidP="00844783">
            <w:r>
              <w:t>Analysis of all workstations to assess any health and safety risks.</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Working at height</w:t>
            </w:r>
          </w:p>
        </w:tc>
        <w:tc>
          <w:tcPr>
            <w:tcW w:w="1250" w:type="pct"/>
          </w:tcPr>
          <w:p w:rsidR="003479CE" w:rsidRDefault="003479CE" w:rsidP="003479CE">
            <w:pPr>
              <w:jc w:val="both"/>
            </w:pPr>
          </w:p>
        </w:tc>
        <w:tc>
          <w:tcPr>
            <w:tcW w:w="1250" w:type="pct"/>
            <w:vAlign w:val="center"/>
          </w:tcPr>
          <w:p w:rsidR="003479CE" w:rsidRDefault="003479CE" w:rsidP="00844783">
            <w:r>
              <w:t>Risk assessment</w:t>
            </w:r>
          </w:p>
        </w:tc>
        <w:tc>
          <w:tcPr>
            <w:tcW w:w="1250" w:type="pct"/>
          </w:tcPr>
          <w:p w:rsidR="003479CE" w:rsidRDefault="003479CE" w:rsidP="003479CE">
            <w:pPr>
              <w:jc w:val="both"/>
            </w:pPr>
          </w:p>
        </w:tc>
      </w:tr>
      <w:tr w:rsidR="003479CE" w:rsidTr="00844783">
        <w:trPr>
          <w:trHeight w:val="1020"/>
        </w:trPr>
        <w:tc>
          <w:tcPr>
            <w:tcW w:w="1250" w:type="pct"/>
            <w:vAlign w:val="center"/>
          </w:tcPr>
          <w:p w:rsidR="003479CE" w:rsidRDefault="003479CE" w:rsidP="006C4DB1">
            <w:pPr>
              <w:jc w:val="center"/>
            </w:pPr>
            <w:r>
              <w:t>Working at height – Safety eye bolts and cradles</w:t>
            </w:r>
          </w:p>
        </w:tc>
        <w:tc>
          <w:tcPr>
            <w:tcW w:w="1250" w:type="pct"/>
          </w:tcPr>
          <w:p w:rsidR="003479CE" w:rsidRDefault="003479CE" w:rsidP="003479CE">
            <w:pPr>
              <w:jc w:val="both"/>
            </w:pPr>
          </w:p>
        </w:tc>
        <w:tc>
          <w:tcPr>
            <w:tcW w:w="1250" w:type="pct"/>
            <w:vAlign w:val="center"/>
          </w:tcPr>
          <w:p w:rsidR="003479CE" w:rsidRDefault="003479CE" w:rsidP="00844783">
            <w:r>
              <w:t>Inspection and testing.</w:t>
            </w:r>
          </w:p>
        </w:tc>
        <w:tc>
          <w:tcPr>
            <w:tcW w:w="1250" w:type="pct"/>
          </w:tcPr>
          <w:p w:rsidR="003479CE" w:rsidRDefault="003479CE" w:rsidP="003479CE">
            <w:pPr>
              <w:jc w:val="both"/>
            </w:pPr>
          </w:p>
        </w:tc>
      </w:tr>
    </w:tbl>
    <w:p w:rsidR="003479CE" w:rsidRDefault="003479CE" w:rsidP="0068728F">
      <w:pPr>
        <w:spacing w:before="120" w:after="120" w:line="320" w:lineRule="exact"/>
        <w:jc w:val="both"/>
        <w:rPr>
          <w:b/>
          <w:sz w:val="32"/>
        </w:rPr>
      </w:pPr>
    </w:p>
    <w:p w:rsidR="003479CE" w:rsidRDefault="003479CE" w:rsidP="0068728F">
      <w:pPr>
        <w:spacing w:before="120" w:after="120" w:line="320" w:lineRule="exact"/>
        <w:jc w:val="both"/>
        <w:rPr>
          <w:b/>
          <w:sz w:val="32"/>
        </w:rPr>
      </w:pPr>
    </w:p>
    <w:p w:rsidR="003479CE" w:rsidRDefault="003479CE" w:rsidP="0068728F">
      <w:pPr>
        <w:spacing w:before="120" w:after="120" w:line="320" w:lineRule="exact"/>
        <w:jc w:val="both"/>
        <w:rPr>
          <w:b/>
          <w:sz w:val="32"/>
        </w:rPr>
      </w:pPr>
    </w:p>
    <w:p w:rsidR="007F701D" w:rsidRDefault="003479CE" w:rsidP="0068728F">
      <w:pPr>
        <w:jc w:val="both"/>
        <w:rPr>
          <w:b/>
          <w:sz w:val="28"/>
          <w:szCs w:val="28"/>
        </w:rPr>
      </w:pPr>
      <w:bookmarkStart w:id="46" w:name="b"/>
      <w:bookmarkEnd w:id="45"/>
      <w:bookmarkEnd w:id="46"/>
      <w:r w:rsidRPr="003479CE">
        <w:rPr>
          <w:b/>
          <w:sz w:val="28"/>
          <w:szCs w:val="28"/>
        </w:rPr>
        <w:lastRenderedPageBreak/>
        <w:t xml:space="preserve">Appendix 2 – Asbestos </w:t>
      </w:r>
      <w:r w:rsidR="002F6E9B">
        <w:rPr>
          <w:b/>
          <w:sz w:val="28"/>
          <w:szCs w:val="28"/>
        </w:rPr>
        <w:t>M</w:t>
      </w:r>
      <w:r w:rsidRPr="003479CE">
        <w:rPr>
          <w:b/>
          <w:sz w:val="28"/>
          <w:szCs w:val="28"/>
        </w:rPr>
        <w:t xml:space="preserve">anagement </w:t>
      </w:r>
      <w:r w:rsidR="002F6E9B">
        <w:rPr>
          <w:b/>
          <w:sz w:val="28"/>
          <w:szCs w:val="28"/>
        </w:rPr>
        <w:t>C</w:t>
      </w:r>
      <w:r w:rsidRPr="003479CE">
        <w:rPr>
          <w:b/>
          <w:sz w:val="28"/>
          <w:szCs w:val="28"/>
        </w:rPr>
        <w:t>hecklist</w:t>
      </w:r>
    </w:p>
    <w:p w:rsidR="003479CE" w:rsidRDefault="003479CE" w:rsidP="0068728F">
      <w:pPr>
        <w:jc w:val="both"/>
        <w:rPr>
          <w:b/>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5078"/>
        <w:gridCol w:w="1552"/>
        <w:gridCol w:w="3830"/>
      </w:tblGrid>
      <w:tr w:rsidR="003479CE" w:rsidTr="00844783">
        <w:trPr>
          <w:trHeight w:val="811"/>
        </w:trPr>
        <w:tc>
          <w:tcPr>
            <w:tcW w:w="2427" w:type="pct"/>
            <w:shd w:val="clear" w:color="auto" w:fill="FFD006" w:themeFill="accent6"/>
            <w:vAlign w:val="center"/>
          </w:tcPr>
          <w:p w:rsidR="003479CE" w:rsidRPr="00844783" w:rsidRDefault="00844783" w:rsidP="003479CE">
            <w:pPr>
              <w:jc w:val="center"/>
              <w:rPr>
                <w:b/>
              </w:rPr>
            </w:pPr>
            <w:r w:rsidRPr="00844783">
              <w:rPr>
                <w:b/>
              </w:rPr>
              <w:t>Criteria</w:t>
            </w:r>
          </w:p>
        </w:tc>
        <w:tc>
          <w:tcPr>
            <w:tcW w:w="742" w:type="pct"/>
            <w:shd w:val="clear" w:color="auto" w:fill="FFD006" w:themeFill="accent6"/>
            <w:vAlign w:val="center"/>
          </w:tcPr>
          <w:p w:rsidR="003479CE" w:rsidRPr="00E63F7D" w:rsidRDefault="003479CE" w:rsidP="003479CE">
            <w:pPr>
              <w:jc w:val="center"/>
              <w:rPr>
                <w:b/>
              </w:rPr>
            </w:pPr>
            <w:r w:rsidRPr="00E63F7D">
              <w:rPr>
                <w:b/>
              </w:rPr>
              <w:t>Yes</w:t>
            </w:r>
          </w:p>
        </w:tc>
        <w:tc>
          <w:tcPr>
            <w:tcW w:w="1831" w:type="pct"/>
            <w:shd w:val="clear" w:color="auto" w:fill="FFD006" w:themeFill="accent6"/>
            <w:vAlign w:val="center"/>
          </w:tcPr>
          <w:p w:rsidR="003479CE" w:rsidRPr="00E63F7D" w:rsidRDefault="003479CE" w:rsidP="003479CE">
            <w:pPr>
              <w:jc w:val="center"/>
              <w:rPr>
                <w:b/>
              </w:rPr>
            </w:pPr>
            <w:r w:rsidRPr="00E63F7D">
              <w:rPr>
                <w:b/>
              </w:rPr>
              <w:t>Further action needed</w:t>
            </w:r>
          </w:p>
        </w:tc>
      </w:tr>
      <w:tr w:rsidR="003479CE" w:rsidTr="00137F78">
        <w:trPr>
          <w:trHeight w:val="1531"/>
        </w:trPr>
        <w:tc>
          <w:tcPr>
            <w:tcW w:w="2427" w:type="pct"/>
          </w:tcPr>
          <w:p w:rsidR="003479CE" w:rsidRPr="00271F09" w:rsidRDefault="003479CE" w:rsidP="00271F09">
            <w:r w:rsidRPr="00271F09">
              <w:rPr>
                <w:b/>
              </w:rPr>
              <w:t xml:space="preserve">Is the </w:t>
            </w:r>
            <w:r w:rsidRPr="00271F09">
              <w:rPr>
                <w:b/>
                <w:color w:val="000000" w:themeColor="text1"/>
              </w:rPr>
              <w:t xml:space="preserve">school </w:t>
            </w:r>
            <w:r w:rsidRPr="00271F09">
              <w:rPr>
                <w:b/>
              </w:rPr>
              <w:t xml:space="preserve">management team aware who has the overall legal responsibility for the management and repair of the </w:t>
            </w:r>
            <w:r w:rsidR="00271F09">
              <w:rPr>
                <w:b/>
              </w:rPr>
              <w:t>school</w:t>
            </w:r>
            <w:r w:rsidRPr="00271F09">
              <w:rPr>
                <w:b/>
              </w:rPr>
              <w:t xml:space="preserve"> buildings?</w:t>
            </w:r>
            <w:r w:rsidRPr="00271F09">
              <w:t xml:space="preserve"> The responsibility for managing asbestos falls to whoever is responsible for maintenance and repair of the school premises – this is the duty holder. </w:t>
            </w:r>
          </w:p>
        </w:tc>
        <w:tc>
          <w:tcPr>
            <w:tcW w:w="742" w:type="pct"/>
          </w:tcPr>
          <w:p w:rsidR="003479CE" w:rsidRDefault="003479CE" w:rsidP="003479CE">
            <w:pPr>
              <w:jc w:val="both"/>
            </w:pPr>
          </w:p>
        </w:tc>
        <w:tc>
          <w:tcPr>
            <w:tcW w:w="1831" w:type="pct"/>
          </w:tcPr>
          <w:p w:rsidR="003479CE" w:rsidRDefault="003479CE" w:rsidP="003479CE">
            <w:pPr>
              <w:jc w:val="both"/>
            </w:pPr>
          </w:p>
        </w:tc>
      </w:tr>
      <w:tr w:rsidR="003479CE" w:rsidTr="00844783">
        <w:trPr>
          <w:trHeight w:val="1531"/>
        </w:trPr>
        <w:tc>
          <w:tcPr>
            <w:tcW w:w="2427" w:type="pct"/>
            <w:vAlign w:val="center"/>
          </w:tcPr>
          <w:p w:rsidR="003479CE" w:rsidRPr="00271F09" w:rsidRDefault="003479CE" w:rsidP="00844783">
            <w:r w:rsidRPr="00271F09">
              <w:rPr>
                <w:b/>
              </w:rPr>
              <w:t>Has the duty holder undertaken a management survey?</w:t>
            </w:r>
            <w:r w:rsidRPr="00271F09">
              <w:t xml:space="preserve"> A management survey should identify what type of asbestos containing materials (ACMs) are present and where they are.</w:t>
            </w:r>
          </w:p>
        </w:tc>
        <w:tc>
          <w:tcPr>
            <w:tcW w:w="742" w:type="pct"/>
          </w:tcPr>
          <w:p w:rsidR="003479CE" w:rsidRDefault="003479CE" w:rsidP="003479CE">
            <w:pPr>
              <w:jc w:val="both"/>
            </w:pPr>
          </w:p>
        </w:tc>
        <w:tc>
          <w:tcPr>
            <w:tcW w:w="1831" w:type="pct"/>
          </w:tcPr>
          <w:p w:rsidR="003479CE" w:rsidRDefault="003479CE" w:rsidP="003479CE">
            <w:pPr>
              <w:jc w:val="both"/>
            </w:pPr>
          </w:p>
        </w:tc>
      </w:tr>
      <w:tr w:rsidR="003479CE" w:rsidTr="00844783">
        <w:trPr>
          <w:trHeight w:val="1531"/>
        </w:trPr>
        <w:tc>
          <w:tcPr>
            <w:tcW w:w="2427" w:type="pct"/>
            <w:vAlign w:val="center"/>
          </w:tcPr>
          <w:p w:rsidR="003479CE" w:rsidRPr="00271F09" w:rsidRDefault="003479CE" w:rsidP="00844783">
            <w:r w:rsidRPr="00271F09">
              <w:rPr>
                <w:b/>
              </w:rPr>
              <w:t>Does the management survey highlight the location of ACMs?</w:t>
            </w:r>
            <w:r w:rsidRPr="00271F09">
              <w:t xml:space="preserve"> All areas of the school premises should be included: storerooms; yards; outbuildings; underfloor services; pipes; ceiling voids; corridors</w:t>
            </w:r>
            <w:r w:rsidR="00271F09" w:rsidRPr="00271F09">
              <w:t>,</w:t>
            </w:r>
            <w:r w:rsidRPr="00271F09">
              <w:t xml:space="preserve"> etc. </w:t>
            </w:r>
          </w:p>
        </w:tc>
        <w:tc>
          <w:tcPr>
            <w:tcW w:w="742" w:type="pct"/>
          </w:tcPr>
          <w:p w:rsidR="003479CE" w:rsidRDefault="003479CE" w:rsidP="003479CE">
            <w:pPr>
              <w:jc w:val="both"/>
            </w:pPr>
          </w:p>
        </w:tc>
        <w:tc>
          <w:tcPr>
            <w:tcW w:w="1831" w:type="pct"/>
          </w:tcPr>
          <w:p w:rsidR="003479CE" w:rsidRDefault="003479CE" w:rsidP="003479CE">
            <w:pPr>
              <w:jc w:val="both"/>
            </w:pPr>
          </w:p>
        </w:tc>
      </w:tr>
      <w:tr w:rsidR="003479CE" w:rsidTr="00844783">
        <w:trPr>
          <w:trHeight w:val="1531"/>
        </w:trPr>
        <w:tc>
          <w:tcPr>
            <w:tcW w:w="2427" w:type="pct"/>
            <w:vAlign w:val="center"/>
          </w:tcPr>
          <w:p w:rsidR="003479CE" w:rsidRPr="00271F09" w:rsidRDefault="003479CE" w:rsidP="00844783">
            <w:r w:rsidRPr="00271F09">
              <w:rPr>
                <w:b/>
              </w:rPr>
              <w:t>Has the duty holder assessed the potential risk from the ACMs?</w:t>
            </w:r>
            <w:r w:rsidRPr="00271F09">
              <w:t xml:space="preserve"> The assessment should consider the condition of the ACMs, whether they are likely to be disturbed and the action that is necessary to manage the risks.</w:t>
            </w:r>
          </w:p>
        </w:tc>
        <w:tc>
          <w:tcPr>
            <w:tcW w:w="742" w:type="pct"/>
          </w:tcPr>
          <w:p w:rsidR="003479CE" w:rsidRDefault="003479CE" w:rsidP="003479CE">
            <w:pPr>
              <w:jc w:val="both"/>
            </w:pPr>
          </w:p>
        </w:tc>
        <w:tc>
          <w:tcPr>
            <w:tcW w:w="1831" w:type="pct"/>
          </w:tcPr>
          <w:p w:rsidR="003479CE" w:rsidRDefault="003479CE" w:rsidP="003479CE">
            <w:pPr>
              <w:jc w:val="both"/>
            </w:pPr>
          </w:p>
        </w:tc>
      </w:tr>
      <w:tr w:rsidR="003479CE" w:rsidTr="00844783">
        <w:trPr>
          <w:trHeight w:val="1531"/>
        </w:trPr>
        <w:tc>
          <w:tcPr>
            <w:tcW w:w="2427" w:type="pct"/>
            <w:vAlign w:val="center"/>
          </w:tcPr>
          <w:p w:rsidR="003479CE" w:rsidRPr="00271F09" w:rsidRDefault="003479CE" w:rsidP="00844783">
            <w:r w:rsidRPr="00271F09">
              <w:rPr>
                <w:b/>
              </w:rPr>
              <w:t xml:space="preserve">Does the duty holder have a management plan detailing how to manage the risks from any ACMs at your </w:t>
            </w:r>
            <w:r w:rsidR="00271F09">
              <w:rPr>
                <w:b/>
              </w:rPr>
              <w:t>school</w:t>
            </w:r>
            <w:r w:rsidRPr="00271F09">
              <w:rPr>
                <w:b/>
              </w:rPr>
              <w:t>?</w:t>
            </w:r>
            <w:r w:rsidRPr="00271F09">
              <w:t xml:space="preserve"> The plan should bring together all the available information. It should outline what is going to be done, when it is going to be done, and how it is going to be done – both reactive and planned checks. It should set out clear lines of responsibility.</w:t>
            </w:r>
          </w:p>
        </w:tc>
        <w:tc>
          <w:tcPr>
            <w:tcW w:w="742" w:type="pct"/>
          </w:tcPr>
          <w:p w:rsidR="003479CE" w:rsidRDefault="003479CE" w:rsidP="003479CE">
            <w:pPr>
              <w:jc w:val="both"/>
            </w:pPr>
          </w:p>
        </w:tc>
        <w:tc>
          <w:tcPr>
            <w:tcW w:w="1831" w:type="pct"/>
          </w:tcPr>
          <w:p w:rsidR="003479CE" w:rsidRDefault="003479CE" w:rsidP="003479CE">
            <w:pPr>
              <w:jc w:val="both"/>
            </w:pPr>
          </w:p>
        </w:tc>
      </w:tr>
      <w:tr w:rsidR="003479CE" w:rsidTr="00844783">
        <w:trPr>
          <w:trHeight w:val="1531"/>
        </w:trPr>
        <w:tc>
          <w:tcPr>
            <w:tcW w:w="2427" w:type="pct"/>
            <w:vAlign w:val="center"/>
          </w:tcPr>
          <w:p w:rsidR="003479CE" w:rsidRDefault="003479CE" w:rsidP="00844783">
            <w:r w:rsidRPr="00DC104C">
              <w:rPr>
                <w:b/>
              </w:rPr>
              <w:t xml:space="preserve">Are precautions in place to ensure </w:t>
            </w:r>
            <w:r>
              <w:rPr>
                <w:b/>
              </w:rPr>
              <w:t xml:space="preserve">that </w:t>
            </w:r>
            <w:r w:rsidRPr="00DC104C">
              <w:rPr>
                <w:b/>
              </w:rPr>
              <w:t>anyone who may disturb ACMs is provided with information about any asbestos present?</w:t>
            </w:r>
            <w:r>
              <w:t xml:space="preserve"> The precautions should ensure anyone in-house or who comes to undertake any work on the premises does not start before they are given the information about any asbestos present.</w:t>
            </w:r>
          </w:p>
        </w:tc>
        <w:tc>
          <w:tcPr>
            <w:tcW w:w="742" w:type="pct"/>
          </w:tcPr>
          <w:p w:rsidR="003479CE" w:rsidRDefault="003479CE" w:rsidP="003479CE">
            <w:pPr>
              <w:jc w:val="both"/>
            </w:pPr>
          </w:p>
        </w:tc>
        <w:tc>
          <w:tcPr>
            <w:tcW w:w="1831" w:type="pct"/>
          </w:tcPr>
          <w:p w:rsidR="003479CE" w:rsidRDefault="003479CE" w:rsidP="003479CE">
            <w:pPr>
              <w:jc w:val="both"/>
            </w:pPr>
          </w:p>
        </w:tc>
      </w:tr>
      <w:tr w:rsidR="003479CE" w:rsidTr="00137F78">
        <w:trPr>
          <w:trHeight w:val="1531"/>
        </w:trPr>
        <w:tc>
          <w:tcPr>
            <w:tcW w:w="2427" w:type="pct"/>
          </w:tcPr>
          <w:p w:rsidR="003479CE" w:rsidRPr="00DC104C" w:rsidRDefault="003479CE" w:rsidP="003479CE">
            <w:r>
              <w:rPr>
                <w:b/>
              </w:rPr>
              <w:t>Are any in-house staff, who may undertake maintenance work, adequately trained?</w:t>
            </w:r>
            <w:r w:rsidRPr="00DC104C">
              <w:t xml:space="preserve"> Training needs to be appropriate for the work. </w:t>
            </w:r>
          </w:p>
          <w:p w:rsidR="003479CE" w:rsidRPr="00DC104C" w:rsidRDefault="003479CE" w:rsidP="003479CE"/>
          <w:p w:rsidR="003479CE" w:rsidRDefault="003479CE" w:rsidP="003479CE">
            <w:r>
              <w:rPr>
                <w:b/>
              </w:rPr>
              <w:t xml:space="preserve">Awareness training </w:t>
            </w:r>
            <w:r w:rsidRPr="00DC104C">
              <w:t xml:space="preserve">– this is for staff whose work could expose them to asbestos while carrying out </w:t>
            </w:r>
            <w:r w:rsidRPr="00DC104C">
              <w:lastRenderedPageBreak/>
              <w:t>their everyday tasks. Awareness training is not sufficient for staff planning to carry out any work on ACMs.</w:t>
            </w:r>
          </w:p>
          <w:p w:rsidR="003479CE" w:rsidRDefault="003479CE" w:rsidP="003479CE"/>
          <w:p w:rsidR="003479CE" w:rsidRDefault="003479CE" w:rsidP="003479CE">
            <w:r w:rsidRPr="00E63F7D">
              <w:rPr>
                <w:b/>
              </w:rPr>
              <w:t>Training for work with asbestos that does not require a licence from the HSE</w:t>
            </w:r>
            <w:r>
              <w:t xml:space="preserve"> – this is for staff who plan to carry out any work on ACMs where the likelihood of exposure is much higher e.g. installing cables in areas containing undamaged asbestos materials.</w:t>
            </w:r>
          </w:p>
          <w:p w:rsidR="003479CE" w:rsidRDefault="003479CE" w:rsidP="003479CE"/>
          <w:p w:rsidR="003479CE" w:rsidRPr="00DC104C" w:rsidRDefault="003479CE" w:rsidP="003479CE">
            <w:pPr>
              <w:rPr>
                <w:b/>
              </w:rPr>
            </w:pPr>
            <w:r w:rsidRPr="00E63F7D">
              <w:rPr>
                <w:b/>
              </w:rPr>
              <w:t>Training for asbestos work that does require a licence from the HSE</w:t>
            </w:r>
            <w:r>
              <w:t xml:space="preserve"> – this includes most work of asbestos insulation, asbestos insulating board and lagging, including sealing and removal. Licensed contractors must carry out most work with these higher risk ACMs.</w:t>
            </w:r>
          </w:p>
        </w:tc>
        <w:tc>
          <w:tcPr>
            <w:tcW w:w="742" w:type="pct"/>
          </w:tcPr>
          <w:p w:rsidR="003479CE" w:rsidRDefault="003479CE" w:rsidP="003479CE">
            <w:pPr>
              <w:jc w:val="both"/>
            </w:pPr>
          </w:p>
        </w:tc>
        <w:tc>
          <w:tcPr>
            <w:tcW w:w="1831" w:type="pct"/>
          </w:tcPr>
          <w:p w:rsidR="003479CE" w:rsidRDefault="003479CE" w:rsidP="003479CE">
            <w:pPr>
              <w:jc w:val="both"/>
            </w:pPr>
          </w:p>
        </w:tc>
      </w:tr>
    </w:tbl>
    <w:p w:rsidR="003479CE" w:rsidRDefault="003479CE" w:rsidP="0068728F">
      <w:pPr>
        <w:jc w:val="both"/>
        <w:rPr>
          <w:b/>
          <w:sz w:val="28"/>
          <w:szCs w:val="28"/>
        </w:rPr>
      </w:pPr>
    </w:p>
    <w:p w:rsidR="003479CE" w:rsidRDefault="003479CE" w:rsidP="0068728F">
      <w:pPr>
        <w:jc w:val="both"/>
        <w:rPr>
          <w:b/>
          <w:sz w:val="28"/>
          <w:szCs w:val="28"/>
        </w:rPr>
      </w:pPr>
      <w:r>
        <w:rPr>
          <w:b/>
          <w:sz w:val="28"/>
          <w:szCs w:val="28"/>
        </w:rPr>
        <w:t>Further action needed</w:t>
      </w:r>
    </w:p>
    <w:p w:rsidR="003479CE" w:rsidRDefault="003479CE" w:rsidP="0068728F">
      <w:pPr>
        <w:jc w:val="both"/>
        <w:rPr>
          <w:b/>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3491"/>
        <w:gridCol w:w="3370"/>
        <w:gridCol w:w="2245"/>
        <w:gridCol w:w="1354"/>
      </w:tblGrid>
      <w:tr w:rsidR="003479CE" w:rsidTr="002F6E9B">
        <w:tc>
          <w:tcPr>
            <w:tcW w:w="1669" w:type="pct"/>
            <w:shd w:val="clear" w:color="auto" w:fill="FFD006" w:themeFill="accent6"/>
          </w:tcPr>
          <w:p w:rsidR="003479CE" w:rsidRPr="00E63F7D" w:rsidRDefault="003479CE" w:rsidP="003479CE">
            <w:pPr>
              <w:jc w:val="center"/>
              <w:rPr>
                <w:b/>
              </w:rPr>
            </w:pPr>
            <w:r w:rsidRPr="00E63F7D">
              <w:rPr>
                <w:b/>
              </w:rPr>
              <w:t>Action required</w:t>
            </w:r>
          </w:p>
        </w:tc>
        <w:tc>
          <w:tcPr>
            <w:tcW w:w="1611" w:type="pct"/>
            <w:shd w:val="clear" w:color="auto" w:fill="FFD006" w:themeFill="accent6"/>
          </w:tcPr>
          <w:p w:rsidR="003479CE" w:rsidRPr="00E63F7D" w:rsidRDefault="003479CE" w:rsidP="003479CE">
            <w:pPr>
              <w:jc w:val="center"/>
              <w:rPr>
                <w:b/>
              </w:rPr>
            </w:pPr>
            <w:r w:rsidRPr="00E63F7D">
              <w:rPr>
                <w:b/>
              </w:rPr>
              <w:t>Action taken</w:t>
            </w:r>
          </w:p>
        </w:tc>
        <w:tc>
          <w:tcPr>
            <w:tcW w:w="1073" w:type="pct"/>
            <w:shd w:val="clear" w:color="auto" w:fill="FFD006" w:themeFill="accent6"/>
          </w:tcPr>
          <w:p w:rsidR="003479CE" w:rsidRPr="00E63F7D" w:rsidRDefault="003479CE" w:rsidP="003479CE">
            <w:pPr>
              <w:jc w:val="center"/>
              <w:rPr>
                <w:b/>
              </w:rPr>
            </w:pPr>
            <w:r w:rsidRPr="00E63F7D">
              <w:rPr>
                <w:b/>
              </w:rPr>
              <w:t>When</w:t>
            </w:r>
          </w:p>
        </w:tc>
        <w:tc>
          <w:tcPr>
            <w:tcW w:w="647" w:type="pct"/>
            <w:shd w:val="clear" w:color="auto" w:fill="FFD006" w:themeFill="accent6"/>
          </w:tcPr>
          <w:p w:rsidR="003479CE" w:rsidRPr="00E63F7D" w:rsidRDefault="003479CE" w:rsidP="003479CE">
            <w:pPr>
              <w:jc w:val="center"/>
              <w:rPr>
                <w:b/>
              </w:rPr>
            </w:pPr>
            <w:r w:rsidRPr="00E63F7D">
              <w:rPr>
                <w:b/>
              </w:rPr>
              <w:t>Initialled</w:t>
            </w:r>
          </w:p>
        </w:tc>
      </w:tr>
      <w:tr w:rsidR="003479CE" w:rsidTr="003479CE">
        <w:tc>
          <w:tcPr>
            <w:tcW w:w="1669" w:type="pct"/>
          </w:tcPr>
          <w:p w:rsidR="003479CE" w:rsidRDefault="003479CE" w:rsidP="003479CE">
            <w:pPr>
              <w:jc w:val="both"/>
            </w:pPr>
          </w:p>
          <w:p w:rsidR="003479CE" w:rsidRDefault="003479CE" w:rsidP="003479CE">
            <w:pPr>
              <w:jc w:val="both"/>
            </w:pPr>
          </w:p>
          <w:p w:rsidR="003479CE" w:rsidRDefault="003479CE" w:rsidP="003479CE">
            <w:pPr>
              <w:jc w:val="both"/>
            </w:pPr>
          </w:p>
        </w:tc>
        <w:tc>
          <w:tcPr>
            <w:tcW w:w="1611" w:type="pct"/>
          </w:tcPr>
          <w:p w:rsidR="003479CE" w:rsidRDefault="003479CE" w:rsidP="003479CE">
            <w:pPr>
              <w:jc w:val="both"/>
            </w:pPr>
          </w:p>
        </w:tc>
        <w:tc>
          <w:tcPr>
            <w:tcW w:w="1073" w:type="pct"/>
          </w:tcPr>
          <w:p w:rsidR="003479CE" w:rsidRDefault="003479CE" w:rsidP="003479CE">
            <w:pPr>
              <w:jc w:val="both"/>
            </w:pPr>
          </w:p>
        </w:tc>
        <w:tc>
          <w:tcPr>
            <w:tcW w:w="647" w:type="pct"/>
          </w:tcPr>
          <w:p w:rsidR="003479CE" w:rsidRDefault="003479CE" w:rsidP="003479CE">
            <w:pPr>
              <w:jc w:val="both"/>
            </w:pPr>
          </w:p>
        </w:tc>
      </w:tr>
      <w:tr w:rsidR="003479CE" w:rsidTr="003479CE">
        <w:tc>
          <w:tcPr>
            <w:tcW w:w="1669" w:type="pct"/>
          </w:tcPr>
          <w:p w:rsidR="003479CE" w:rsidRDefault="003479CE" w:rsidP="003479CE">
            <w:pPr>
              <w:jc w:val="both"/>
            </w:pPr>
          </w:p>
          <w:p w:rsidR="003479CE" w:rsidRDefault="003479CE" w:rsidP="003479CE">
            <w:pPr>
              <w:jc w:val="both"/>
            </w:pPr>
          </w:p>
          <w:p w:rsidR="003479CE" w:rsidRDefault="003479CE" w:rsidP="003479CE">
            <w:pPr>
              <w:jc w:val="both"/>
            </w:pPr>
          </w:p>
        </w:tc>
        <w:tc>
          <w:tcPr>
            <w:tcW w:w="1611" w:type="pct"/>
          </w:tcPr>
          <w:p w:rsidR="003479CE" w:rsidRDefault="003479CE" w:rsidP="003479CE">
            <w:pPr>
              <w:jc w:val="both"/>
            </w:pPr>
          </w:p>
        </w:tc>
        <w:tc>
          <w:tcPr>
            <w:tcW w:w="1073" w:type="pct"/>
          </w:tcPr>
          <w:p w:rsidR="003479CE" w:rsidRDefault="003479CE" w:rsidP="003479CE">
            <w:pPr>
              <w:jc w:val="both"/>
            </w:pPr>
          </w:p>
        </w:tc>
        <w:tc>
          <w:tcPr>
            <w:tcW w:w="647" w:type="pct"/>
          </w:tcPr>
          <w:p w:rsidR="003479CE" w:rsidRDefault="003479CE" w:rsidP="003479CE">
            <w:pPr>
              <w:jc w:val="both"/>
            </w:pPr>
          </w:p>
        </w:tc>
      </w:tr>
      <w:tr w:rsidR="003479CE" w:rsidTr="003479CE">
        <w:tc>
          <w:tcPr>
            <w:tcW w:w="1669" w:type="pct"/>
          </w:tcPr>
          <w:p w:rsidR="003479CE" w:rsidRDefault="003479CE" w:rsidP="003479CE">
            <w:pPr>
              <w:jc w:val="both"/>
            </w:pPr>
          </w:p>
          <w:p w:rsidR="003479CE" w:rsidRDefault="003479CE" w:rsidP="003479CE">
            <w:pPr>
              <w:jc w:val="both"/>
            </w:pPr>
          </w:p>
          <w:p w:rsidR="003479CE" w:rsidRDefault="003479CE" w:rsidP="003479CE">
            <w:pPr>
              <w:jc w:val="both"/>
            </w:pPr>
          </w:p>
        </w:tc>
        <w:tc>
          <w:tcPr>
            <w:tcW w:w="1611" w:type="pct"/>
          </w:tcPr>
          <w:p w:rsidR="003479CE" w:rsidRDefault="003479CE" w:rsidP="003479CE">
            <w:pPr>
              <w:jc w:val="both"/>
            </w:pPr>
          </w:p>
        </w:tc>
        <w:tc>
          <w:tcPr>
            <w:tcW w:w="1073" w:type="pct"/>
          </w:tcPr>
          <w:p w:rsidR="003479CE" w:rsidRDefault="003479CE" w:rsidP="003479CE">
            <w:pPr>
              <w:jc w:val="both"/>
            </w:pPr>
          </w:p>
        </w:tc>
        <w:tc>
          <w:tcPr>
            <w:tcW w:w="647" w:type="pct"/>
          </w:tcPr>
          <w:p w:rsidR="003479CE" w:rsidRDefault="003479CE" w:rsidP="003479CE">
            <w:pPr>
              <w:jc w:val="both"/>
            </w:pPr>
          </w:p>
        </w:tc>
      </w:tr>
      <w:tr w:rsidR="003479CE" w:rsidTr="003479CE">
        <w:tc>
          <w:tcPr>
            <w:tcW w:w="1669" w:type="pct"/>
          </w:tcPr>
          <w:p w:rsidR="003479CE" w:rsidRDefault="003479CE" w:rsidP="003479CE">
            <w:pPr>
              <w:jc w:val="both"/>
            </w:pPr>
          </w:p>
          <w:p w:rsidR="003479CE" w:rsidRDefault="003479CE" w:rsidP="003479CE">
            <w:pPr>
              <w:jc w:val="both"/>
            </w:pPr>
          </w:p>
          <w:p w:rsidR="003479CE" w:rsidRDefault="003479CE" w:rsidP="003479CE">
            <w:pPr>
              <w:jc w:val="both"/>
            </w:pPr>
          </w:p>
        </w:tc>
        <w:tc>
          <w:tcPr>
            <w:tcW w:w="1611" w:type="pct"/>
          </w:tcPr>
          <w:p w:rsidR="003479CE" w:rsidRDefault="003479CE" w:rsidP="003479CE">
            <w:pPr>
              <w:jc w:val="both"/>
            </w:pPr>
          </w:p>
        </w:tc>
        <w:tc>
          <w:tcPr>
            <w:tcW w:w="1073" w:type="pct"/>
          </w:tcPr>
          <w:p w:rsidR="003479CE" w:rsidRDefault="003479CE" w:rsidP="003479CE">
            <w:pPr>
              <w:jc w:val="both"/>
            </w:pPr>
          </w:p>
        </w:tc>
        <w:tc>
          <w:tcPr>
            <w:tcW w:w="647" w:type="pct"/>
          </w:tcPr>
          <w:p w:rsidR="003479CE" w:rsidRDefault="003479CE" w:rsidP="003479CE">
            <w:pPr>
              <w:jc w:val="both"/>
            </w:pPr>
          </w:p>
        </w:tc>
      </w:tr>
      <w:tr w:rsidR="003479CE" w:rsidTr="003479CE">
        <w:tc>
          <w:tcPr>
            <w:tcW w:w="1669" w:type="pct"/>
          </w:tcPr>
          <w:p w:rsidR="003479CE" w:rsidRDefault="003479CE" w:rsidP="003479CE">
            <w:pPr>
              <w:jc w:val="both"/>
            </w:pPr>
          </w:p>
          <w:p w:rsidR="003479CE" w:rsidRDefault="003479CE" w:rsidP="003479CE">
            <w:pPr>
              <w:jc w:val="both"/>
            </w:pPr>
          </w:p>
          <w:p w:rsidR="003479CE" w:rsidRDefault="003479CE" w:rsidP="003479CE">
            <w:pPr>
              <w:jc w:val="both"/>
            </w:pPr>
          </w:p>
        </w:tc>
        <w:tc>
          <w:tcPr>
            <w:tcW w:w="1611" w:type="pct"/>
          </w:tcPr>
          <w:p w:rsidR="003479CE" w:rsidRDefault="003479CE" w:rsidP="003479CE">
            <w:pPr>
              <w:jc w:val="both"/>
            </w:pPr>
          </w:p>
        </w:tc>
        <w:tc>
          <w:tcPr>
            <w:tcW w:w="1073" w:type="pct"/>
          </w:tcPr>
          <w:p w:rsidR="003479CE" w:rsidRDefault="003479CE" w:rsidP="003479CE">
            <w:pPr>
              <w:jc w:val="both"/>
            </w:pPr>
          </w:p>
        </w:tc>
        <w:tc>
          <w:tcPr>
            <w:tcW w:w="647" w:type="pct"/>
          </w:tcPr>
          <w:p w:rsidR="003479CE" w:rsidRDefault="003479CE" w:rsidP="003479CE">
            <w:pPr>
              <w:jc w:val="both"/>
            </w:pPr>
          </w:p>
        </w:tc>
      </w:tr>
    </w:tbl>
    <w:p w:rsidR="003479CE" w:rsidRDefault="003479CE" w:rsidP="0068728F">
      <w:pPr>
        <w:jc w:val="both"/>
        <w:rPr>
          <w:b/>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4A0" w:firstRow="1" w:lastRow="0" w:firstColumn="1" w:lastColumn="0" w:noHBand="0" w:noVBand="1"/>
      </w:tblPr>
      <w:tblGrid>
        <w:gridCol w:w="4935"/>
        <w:gridCol w:w="3048"/>
        <w:gridCol w:w="2477"/>
      </w:tblGrid>
      <w:tr w:rsidR="003479CE" w:rsidTr="002F6E9B">
        <w:trPr>
          <w:trHeight w:val="501"/>
        </w:trPr>
        <w:tc>
          <w:tcPr>
            <w:tcW w:w="2359" w:type="pct"/>
            <w:shd w:val="clear" w:color="auto" w:fill="BFBFBF" w:themeFill="background1" w:themeFillShade="BF"/>
            <w:vAlign w:val="center"/>
          </w:tcPr>
          <w:p w:rsidR="003479CE" w:rsidRPr="00E63F7D" w:rsidRDefault="003479CE" w:rsidP="002F6E9B">
            <w:pPr>
              <w:rPr>
                <w:b/>
              </w:rPr>
            </w:pPr>
            <w:r w:rsidRPr="00E63F7D">
              <w:rPr>
                <w:b/>
              </w:rPr>
              <w:t>Name (and position):</w:t>
            </w:r>
          </w:p>
        </w:tc>
        <w:tc>
          <w:tcPr>
            <w:tcW w:w="1457" w:type="pct"/>
            <w:vMerge w:val="restart"/>
          </w:tcPr>
          <w:p w:rsidR="003479CE" w:rsidRPr="00E63F7D" w:rsidRDefault="003479CE" w:rsidP="003479CE">
            <w:pPr>
              <w:jc w:val="both"/>
              <w:rPr>
                <w:b/>
              </w:rPr>
            </w:pPr>
            <w:r w:rsidRPr="00E63F7D">
              <w:rPr>
                <w:b/>
              </w:rPr>
              <w:t>Signature:</w:t>
            </w:r>
          </w:p>
        </w:tc>
        <w:tc>
          <w:tcPr>
            <w:tcW w:w="1184" w:type="pct"/>
            <w:vMerge w:val="restart"/>
          </w:tcPr>
          <w:p w:rsidR="003479CE" w:rsidRPr="00E63F7D" w:rsidRDefault="003479CE" w:rsidP="003479CE">
            <w:pPr>
              <w:jc w:val="both"/>
              <w:rPr>
                <w:b/>
              </w:rPr>
            </w:pPr>
            <w:r w:rsidRPr="00E63F7D">
              <w:rPr>
                <w:b/>
              </w:rPr>
              <w:t>Date:</w:t>
            </w:r>
          </w:p>
        </w:tc>
      </w:tr>
      <w:tr w:rsidR="003479CE" w:rsidTr="002F6E9B">
        <w:trPr>
          <w:trHeight w:val="497"/>
        </w:trPr>
        <w:tc>
          <w:tcPr>
            <w:tcW w:w="2359" w:type="pct"/>
            <w:shd w:val="clear" w:color="auto" w:fill="BFBFBF" w:themeFill="background1" w:themeFillShade="BF"/>
            <w:vAlign w:val="center"/>
          </w:tcPr>
          <w:p w:rsidR="003479CE" w:rsidRPr="00E63F7D" w:rsidRDefault="00FE35A9" w:rsidP="002F6E9B">
            <w:pPr>
              <w:rPr>
                <w:b/>
              </w:rPr>
            </w:pPr>
            <w:r>
              <w:rPr>
                <w:b/>
              </w:rPr>
              <w:t>Tor School</w:t>
            </w:r>
            <w:r w:rsidR="003479CE" w:rsidRPr="00271F09">
              <w:rPr>
                <w:b/>
                <w:color w:val="000000" w:themeColor="text1"/>
              </w:rPr>
              <w:t>:</w:t>
            </w:r>
          </w:p>
        </w:tc>
        <w:tc>
          <w:tcPr>
            <w:tcW w:w="1457" w:type="pct"/>
            <w:vMerge/>
          </w:tcPr>
          <w:p w:rsidR="003479CE" w:rsidRDefault="003479CE" w:rsidP="003479CE">
            <w:pPr>
              <w:jc w:val="both"/>
            </w:pPr>
          </w:p>
        </w:tc>
        <w:tc>
          <w:tcPr>
            <w:tcW w:w="1184" w:type="pct"/>
            <w:vMerge/>
          </w:tcPr>
          <w:p w:rsidR="003479CE" w:rsidRDefault="003479CE" w:rsidP="003479CE">
            <w:pPr>
              <w:jc w:val="both"/>
            </w:pPr>
          </w:p>
        </w:tc>
      </w:tr>
    </w:tbl>
    <w:p w:rsidR="003479CE" w:rsidRPr="003479CE" w:rsidRDefault="003479CE" w:rsidP="0068728F">
      <w:pPr>
        <w:jc w:val="both"/>
        <w:rPr>
          <w:b/>
          <w:sz w:val="28"/>
          <w:szCs w:val="28"/>
        </w:rPr>
      </w:pPr>
    </w:p>
    <w:sectPr w:rsidR="003479CE" w:rsidRPr="003479CE" w:rsidSect="009D73FA">
      <w:headerReference w:type="default" r:id="rId17"/>
      <w:pgSz w:w="11906" w:h="16838"/>
      <w:pgMar w:top="720" w:right="720" w:bottom="720" w:left="72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1F" w:rsidRDefault="00142B1F" w:rsidP="00AD4155">
      <w:r>
        <w:separator/>
      </w:r>
    </w:p>
  </w:endnote>
  <w:endnote w:type="continuationSeparator" w:id="0">
    <w:p w:rsidR="00142B1F" w:rsidRDefault="00142B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88D476F-FB39-4C7B-9DF9-33A9F88B17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Pr="00E71485" w:rsidRDefault="00142B1F" w:rsidP="00E71485">
    <w:pPr>
      <w:pStyle w:val="Footer"/>
    </w:pPr>
    <w:r>
      <w:rPr>
        <w:noProof/>
        <w:lang w:eastAsia="en-GB"/>
      </w:rPr>
      <mc:AlternateContent>
        <mc:Choice Requires="wps">
          <w:drawing>
            <wp:anchor distT="0" distB="0" distL="114300" distR="114300" simplePos="0" relativeHeight="251656704" behindDoc="0" locked="0" layoutInCell="1" allowOverlap="1" wp14:anchorId="7FAF132A" wp14:editId="7A7F3441">
              <wp:simplePos x="0" y="0"/>
              <wp:positionH relativeFrom="column">
                <wp:posOffset>-33494</wp:posOffset>
              </wp:positionH>
              <wp:positionV relativeFrom="paragraph">
                <wp:posOffset>-151895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142B1F" w:rsidRPr="00B86541" w:rsidRDefault="00142B1F" w:rsidP="00E71485">
                          <w:pPr>
                            <w:pStyle w:val="Footer"/>
                            <w:rPr>
                              <w:sz w:val="20"/>
                            </w:rPr>
                          </w:pPr>
                          <w:r w:rsidRPr="00B86541">
                            <w:rPr>
                              <w:sz w:val="20"/>
                            </w:rPr>
                            <w:t xml:space="preserve">Last updated: </w:t>
                          </w:r>
                          <w:r w:rsidR="005B2EC2">
                            <w:rPr>
                              <w:sz w:val="20"/>
                            </w:rPr>
                            <w:t>13</w:t>
                          </w:r>
                          <w:r>
                            <w:rPr>
                              <w:sz w:val="20"/>
                            </w:rPr>
                            <w:t xml:space="preserve"> June 2017</w:t>
                          </w:r>
                        </w:p>
                        <w:p w:rsidR="00142B1F" w:rsidRDefault="00142B1F"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AF132A" id="_x0000_t202" coordsize="21600,21600" o:spt="202" path="m,l,21600r21600,l21600,xe">
              <v:stroke joinstyle="miter"/>
              <v:path gradientshapeok="t" o:connecttype="rect"/>
            </v:shapetype>
            <v:shape id="_x0000_s1027" type="#_x0000_t202" style="position:absolute;margin-left:-2.65pt;margin-top:-11.95pt;width:186.95pt;height:22.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6zMPgQsC&#10;AADyAwAADgAAAAAAAAAAAAAAAAAuAgAAZHJzL2Uyb0RvYy54bWxQSwECLQAUAAYACAAAACEA9mJO&#10;yuEAAAAJAQAADwAAAAAAAAAAAAAAAABlBAAAZHJzL2Rvd25yZXYueG1sUEsFBgAAAAAEAAQA8wAA&#10;AHMFAAAAAA==&#10;" filled="f" stroked="f">
              <v:textbox>
                <w:txbxContent>
                  <w:p w:rsidR="00142B1F" w:rsidRPr="00B86541" w:rsidRDefault="00142B1F" w:rsidP="00E71485">
                    <w:pPr>
                      <w:pStyle w:val="Footer"/>
                      <w:rPr>
                        <w:sz w:val="20"/>
                      </w:rPr>
                    </w:pPr>
                    <w:r w:rsidRPr="00B86541">
                      <w:rPr>
                        <w:sz w:val="20"/>
                      </w:rPr>
                      <w:t xml:space="preserve">Last updated: </w:t>
                    </w:r>
                    <w:r w:rsidR="005B2EC2">
                      <w:rPr>
                        <w:sz w:val="20"/>
                      </w:rPr>
                      <w:t>13</w:t>
                    </w:r>
                    <w:r>
                      <w:rPr>
                        <w:sz w:val="20"/>
                      </w:rPr>
                      <w:t xml:space="preserve"> June 2017</w:t>
                    </w:r>
                  </w:p>
                  <w:p w:rsidR="00142B1F" w:rsidRDefault="00142B1F" w:rsidP="00E71485"/>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Pr="00E71485" w:rsidRDefault="00142B1F" w:rsidP="00E71485">
    <w:pPr>
      <w:pStyle w:val="Footer"/>
    </w:pPr>
    <w:r>
      <w:rPr>
        <w:noProof/>
        <w:lang w:eastAsia="en-GB"/>
      </w:rPr>
      <mc:AlternateContent>
        <mc:Choice Requires="wps">
          <w:drawing>
            <wp:anchor distT="0" distB="0" distL="114300" distR="114300" simplePos="0" relativeHeight="251658240" behindDoc="0" locked="0" layoutInCell="1" allowOverlap="1" wp14:anchorId="649696C1" wp14:editId="00224A1A">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142B1F" w:rsidRDefault="00142B1F"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9696C1" id="_x0000_t202" coordsize="21600,21600" o:spt="202" path="m,l,21600r21600,l21600,xe">
              <v:stroke joinstyle="miter"/>
              <v:path gradientshapeok="t" o:connecttype="rect"/>
            </v:shapetype>
            <v:shape id="Text Box 3" o:spid="_x0000_s1028" type="#_x0000_t202" style="position:absolute;margin-left:-2.65pt;margin-top:-11.95pt;width:186.95pt;height:22.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" filled="f" stroked="f">
              <v:textbox>
                <w:txbxContent>
                  <w:p w:rsidR="00142B1F" w:rsidRDefault="00142B1F"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1F" w:rsidRDefault="00142B1F" w:rsidP="00AD4155">
      <w:r>
        <w:separator/>
      </w:r>
    </w:p>
  </w:footnote>
  <w:footnote w:type="continuationSeparator" w:id="0">
    <w:p w:rsidR="00142B1F" w:rsidRDefault="00142B1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F" w:rsidRDefault="0014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D8A151C"/>
    <w:multiLevelType w:val="hybridMultilevel"/>
    <w:tmpl w:val="223CC75E"/>
    <w:lvl w:ilvl="0" w:tplc="E7C88398">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87E87"/>
    <w:multiLevelType w:val="hybridMultilevel"/>
    <w:tmpl w:val="8A3241B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3BA44228"/>
    <w:multiLevelType w:val="hybridMultilevel"/>
    <w:tmpl w:val="AEB8402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8C22A1"/>
    <w:multiLevelType w:val="multilevel"/>
    <w:tmpl w:val="7C621AEA"/>
    <w:numStyleLink w:val="Style1"/>
  </w:abstractNum>
  <w:abstractNum w:abstractNumId="6">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5024CD"/>
    <w:multiLevelType w:val="hybridMultilevel"/>
    <w:tmpl w:val="2D3821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4131773"/>
    <w:multiLevelType w:val="hybridMultilevel"/>
    <w:tmpl w:val="B5C021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9">
    <w:nsid w:val="557A63EB"/>
    <w:multiLevelType w:val="hybridMultilevel"/>
    <w:tmpl w:val="D750A648"/>
    <w:lvl w:ilvl="0" w:tplc="C1A43E4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nsid w:val="67AC6EBE"/>
    <w:multiLevelType w:val="hybridMultilevel"/>
    <w:tmpl w:val="81C4A0CA"/>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1">
    <w:nsid w:val="69A0610A"/>
    <w:multiLevelType w:val="hybridMultilevel"/>
    <w:tmpl w:val="2E0A8F1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2">
    <w:nsid w:val="6A686244"/>
    <w:multiLevelType w:val="hybridMultilevel"/>
    <w:tmpl w:val="3574EB8C"/>
    <w:lvl w:ilvl="0" w:tplc="5F84DA06">
      <w:start w:val="1"/>
      <w:numFmt w:val="decimal"/>
      <w:lvlText w:val="%1."/>
      <w:lvlJc w:val="left"/>
      <w:pPr>
        <w:ind w:left="1080" w:hanging="360"/>
      </w:pPr>
      <w:rPr>
        <w:color w:val="auto"/>
        <w:sz w:val="22"/>
        <w:szCs w:val="22"/>
      </w:rPr>
    </w:lvl>
    <w:lvl w:ilvl="1" w:tplc="EF648888">
      <w:start w:val="1"/>
      <w:numFmt w:val="lowerLetter"/>
      <w:lvlText w:val="%2)"/>
      <w:lvlJc w:val="left"/>
      <w:pPr>
        <w:ind w:left="1778" w:hanging="360"/>
      </w:pPr>
      <w:rPr>
        <w:color w:val="000000" w:themeColor="text1"/>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E140E06"/>
    <w:multiLevelType w:val="hybridMultilevel"/>
    <w:tmpl w:val="79A4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num>
  <w:num w:numId="7">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
  </w:num>
  <w:num w:numId="9">
    <w:abstractNumId w:val="10"/>
  </w:num>
  <w:num w:numId="10">
    <w:abstractNumId w:val="14"/>
  </w:num>
  <w:num w:numId="11">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
  </w:num>
  <w:num w:numId="25">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8"/>
  </w:num>
  <w:num w:numId="30">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7"/>
  </w:num>
  <w:num w:numId="32">
    <w:abstractNumId w:val="4"/>
  </w:num>
  <w:num w:numId="3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100B6"/>
    <w:rsid w:val="00010F74"/>
    <w:rsid w:val="0001177F"/>
    <w:rsid w:val="000118E2"/>
    <w:rsid w:val="00014CF2"/>
    <w:rsid w:val="000309F5"/>
    <w:rsid w:val="0003329F"/>
    <w:rsid w:val="00037174"/>
    <w:rsid w:val="000402B3"/>
    <w:rsid w:val="0004034D"/>
    <w:rsid w:val="00040C15"/>
    <w:rsid w:val="00040E9B"/>
    <w:rsid w:val="0004203D"/>
    <w:rsid w:val="00042069"/>
    <w:rsid w:val="000424D3"/>
    <w:rsid w:val="00047288"/>
    <w:rsid w:val="000510BB"/>
    <w:rsid w:val="00056533"/>
    <w:rsid w:val="000567E2"/>
    <w:rsid w:val="000606F6"/>
    <w:rsid w:val="00063DB5"/>
    <w:rsid w:val="00065C6B"/>
    <w:rsid w:val="00074C8C"/>
    <w:rsid w:val="00080091"/>
    <w:rsid w:val="00080232"/>
    <w:rsid w:val="00095EF3"/>
    <w:rsid w:val="000A6B9C"/>
    <w:rsid w:val="000A738F"/>
    <w:rsid w:val="000A7708"/>
    <w:rsid w:val="000B1080"/>
    <w:rsid w:val="000B11F3"/>
    <w:rsid w:val="000B16CC"/>
    <w:rsid w:val="000B213E"/>
    <w:rsid w:val="000B44E5"/>
    <w:rsid w:val="000B4624"/>
    <w:rsid w:val="000B46CC"/>
    <w:rsid w:val="000B7B80"/>
    <w:rsid w:val="000C061E"/>
    <w:rsid w:val="000C3F05"/>
    <w:rsid w:val="000C7259"/>
    <w:rsid w:val="000D00DE"/>
    <w:rsid w:val="000D32B6"/>
    <w:rsid w:val="000D5C10"/>
    <w:rsid w:val="000D618A"/>
    <w:rsid w:val="000D6CB9"/>
    <w:rsid w:val="000E006C"/>
    <w:rsid w:val="000E1307"/>
    <w:rsid w:val="000E2C37"/>
    <w:rsid w:val="000E3A6F"/>
    <w:rsid w:val="000E451C"/>
    <w:rsid w:val="000E4979"/>
    <w:rsid w:val="000E6EDE"/>
    <w:rsid w:val="000F02C3"/>
    <w:rsid w:val="000F0BDC"/>
    <w:rsid w:val="000F2717"/>
    <w:rsid w:val="000F6641"/>
    <w:rsid w:val="001009AE"/>
    <w:rsid w:val="001027B0"/>
    <w:rsid w:val="00102F13"/>
    <w:rsid w:val="001041F9"/>
    <w:rsid w:val="00104487"/>
    <w:rsid w:val="00111AB1"/>
    <w:rsid w:val="00112B99"/>
    <w:rsid w:val="00113D79"/>
    <w:rsid w:val="00114F0B"/>
    <w:rsid w:val="001161EF"/>
    <w:rsid w:val="00120C1C"/>
    <w:rsid w:val="00120D87"/>
    <w:rsid w:val="00122ED0"/>
    <w:rsid w:val="0012519B"/>
    <w:rsid w:val="001274D5"/>
    <w:rsid w:val="00127C83"/>
    <w:rsid w:val="001328E8"/>
    <w:rsid w:val="001352CE"/>
    <w:rsid w:val="00137F78"/>
    <w:rsid w:val="00142B1F"/>
    <w:rsid w:val="0014667C"/>
    <w:rsid w:val="001635E9"/>
    <w:rsid w:val="00164909"/>
    <w:rsid w:val="00164DDF"/>
    <w:rsid w:val="00166C2A"/>
    <w:rsid w:val="0016765F"/>
    <w:rsid w:val="0017087A"/>
    <w:rsid w:val="001709BB"/>
    <w:rsid w:val="00171113"/>
    <w:rsid w:val="001769DF"/>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B787C"/>
    <w:rsid w:val="001C0534"/>
    <w:rsid w:val="001C173E"/>
    <w:rsid w:val="001C181C"/>
    <w:rsid w:val="001C3D56"/>
    <w:rsid w:val="001C55C2"/>
    <w:rsid w:val="001C6D2B"/>
    <w:rsid w:val="001D05A9"/>
    <w:rsid w:val="001D0981"/>
    <w:rsid w:val="001E1528"/>
    <w:rsid w:val="001E5AF6"/>
    <w:rsid w:val="001E5BB1"/>
    <w:rsid w:val="001E6910"/>
    <w:rsid w:val="001F3CFB"/>
    <w:rsid w:val="001F635A"/>
    <w:rsid w:val="00201B4B"/>
    <w:rsid w:val="00206835"/>
    <w:rsid w:val="00207C5A"/>
    <w:rsid w:val="00212661"/>
    <w:rsid w:val="00220DF6"/>
    <w:rsid w:val="002255EF"/>
    <w:rsid w:val="002322B4"/>
    <w:rsid w:val="002333A7"/>
    <w:rsid w:val="00234463"/>
    <w:rsid w:val="00237B28"/>
    <w:rsid w:val="00240743"/>
    <w:rsid w:val="00240E20"/>
    <w:rsid w:val="00241BCE"/>
    <w:rsid w:val="00243C32"/>
    <w:rsid w:val="002455D7"/>
    <w:rsid w:val="00246C04"/>
    <w:rsid w:val="002470C8"/>
    <w:rsid w:val="00251899"/>
    <w:rsid w:val="00253BCA"/>
    <w:rsid w:val="002636F6"/>
    <w:rsid w:val="00266795"/>
    <w:rsid w:val="00271F09"/>
    <w:rsid w:val="00281A23"/>
    <w:rsid w:val="0028203B"/>
    <w:rsid w:val="0028407E"/>
    <w:rsid w:val="00285028"/>
    <w:rsid w:val="0029265C"/>
    <w:rsid w:val="002A0C00"/>
    <w:rsid w:val="002A1B53"/>
    <w:rsid w:val="002A2040"/>
    <w:rsid w:val="002A43B2"/>
    <w:rsid w:val="002B6711"/>
    <w:rsid w:val="002C20A7"/>
    <w:rsid w:val="002C220C"/>
    <w:rsid w:val="002C3AF5"/>
    <w:rsid w:val="002C4AE2"/>
    <w:rsid w:val="002C64EB"/>
    <w:rsid w:val="002C7582"/>
    <w:rsid w:val="002D349C"/>
    <w:rsid w:val="002D4754"/>
    <w:rsid w:val="002E2188"/>
    <w:rsid w:val="002E404D"/>
    <w:rsid w:val="002E5B12"/>
    <w:rsid w:val="002E6879"/>
    <w:rsid w:val="002F2CF8"/>
    <w:rsid w:val="002F6E9B"/>
    <w:rsid w:val="003001A4"/>
    <w:rsid w:val="00306711"/>
    <w:rsid w:val="00310EF5"/>
    <w:rsid w:val="003129E4"/>
    <w:rsid w:val="00313692"/>
    <w:rsid w:val="00314964"/>
    <w:rsid w:val="00315271"/>
    <w:rsid w:val="003251F2"/>
    <w:rsid w:val="00330B5C"/>
    <w:rsid w:val="00330BD2"/>
    <w:rsid w:val="00330F8D"/>
    <w:rsid w:val="0033414D"/>
    <w:rsid w:val="003479CE"/>
    <w:rsid w:val="00350000"/>
    <w:rsid w:val="0035319B"/>
    <w:rsid w:val="003573B4"/>
    <w:rsid w:val="00360133"/>
    <w:rsid w:val="00360212"/>
    <w:rsid w:val="00361211"/>
    <w:rsid w:val="003625AB"/>
    <w:rsid w:val="00370F77"/>
    <w:rsid w:val="00375EB1"/>
    <w:rsid w:val="0037681B"/>
    <w:rsid w:val="00382ADF"/>
    <w:rsid w:val="00383051"/>
    <w:rsid w:val="00383F18"/>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628D"/>
    <w:rsid w:val="003C0592"/>
    <w:rsid w:val="003C35A4"/>
    <w:rsid w:val="003C3C79"/>
    <w:rsid w:val="003D0C87"/>
    <w:rsid w:val="003D4877"/>
    <w:rsid w:val="003D4CAA"/>
    <w:rsid w:val="003D7107"/>
    <w:rsid w:val="003E2874"/>
    <w:rsid w:val="003E47D1"/>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6A96"/>
    <w:rsid w:val="00426B6A"/>
    <w:rsid w:val="00430A0C"/>
    <w:rsid w:val="00430D7A"/>
    <w:rsid w:val="00432DA9"/>
    <w:rsid w:val="0043497B"/>
    <w:rsid w:val="004354E8"/>
    <w:rsid w:val="00437BBD"/>
    <w:rsid w:val="00441947"/>
    <w:rsid w:val="00444F88"/>
    <w:rsid w:val="00445161"/>
    <w:rsid w:val="00447BB3"/>
    <w:rsid w:val="00447D9E"/>
    <w:rsid w:val="0045444D"/>
    <w:rsid w:val="00455902"/>
    <w:rsid w:val="0045782A"/>
    <w:rsid w:val="004578B1"/>
    <w:rsid w:val="00461D57"/>
    <w:rsid w:val="00462C4F"/>
    <w:rsid w:val="00465987"/>
    <w:rsid w:val="00466259"/>
    <w:rsid w:val="00472C64"/>
    <w:rsid w:val="004745FE"/>
    <w:rsid w:val="004749B4"/>
    <w:rsid w:val="00475044"/>
    <w:rsid w:val="00475327"/>
    <w:rsid w:val="00475594"/>
    <w:rsid w:val="00480C32"/>
    <w:rsid w:val="00482C00"/>
    <w:rsid w:val="00483FE0"/>
    <w:rsid w:val="004843E1"/>
    <w:rsid w:val="00487590"/>
    <w:rsid w:val="00490625"/>
    <w:rsid w:val="00491F60"/>
    <w:rsid w:val="004A00CF"/>
    <w:rsid w:val="004A2A51"/>
    <w:rsid w:val="004A4661"/>
    <w:rsid w:val="004A4984"/>
    <w:rsid w:val="004A73EB"/>
    <w:rsid w:val="004B0546"/>
    <w:rsid w:val="004C0C85"/>
    <w:rsid w:val="004C1698"/>
    <w:rsid w:val="004C1B0D"/>
    <w:rsid w:val="004C44C5"/>
    <w:rsid w:val="004C5DDB"/>
    <w:rsid w:val="004C69B5"/>
    <w:rsid w:val="004C6B7F"/>
    <w:rsid w:val="004D36A1"/>
    <w:rsid w:val="004D5CF7"/>
    <w:rsid w:val="004E018D"/>
    <w:rsid w:val="004E4442"/>
    <w:rsid w:val="004E4E2B"/>
    <w:rsid w:val="004F014D"/>
    <w:rsid w:val="004F03DD"/>
    <w:rsid w:val="004F1637"/>
    <w:rsid w:val="004F364C"/>
    <w:rsid w:val="004F3F3D"/>
    <w:rsid w:val="004F62DC"/>
    <w:rsid w:val="005025ED"/>
    <w:rsid w:val="00503FE4"/>
    <w:rsid w:val="00504FA7"/>
    <w:rsid w:val="00510B45"/>
    <w:rsid w:val="00511050"/>
    <w:rsid w:val="005138C6"/>
    <w:rsid w:val="00522DC2"/>
    <w:rsid w:val="00527A84"/>
    <w:rsid w:val="00540DFC"/>
    <w:rsid w:val="00551A23"/>
    <w:rsid w:val="0055675B"/>
    <w:rsid w:val="00557FBC"/>
    <w:rsid w:val="00560CCA"/>
    <w:rsid w:val="00562D6D"/>
    <w:rsid w:val="00563A69"/>
    <w:rsid w:val="005653CE"/>
    <w:rsid w:val="00566EA3"/>
    <w:rsid w:val="00570D08"/>
    <w:rsid w:val="00571CA2"/>
    <w:rsid w:val="00583213"/>
    <w:rsid w:val="00583FC6"/>
    <w:rsid w:val="00585773"/>
    <w:rsid w:val="005918E9"/>
    <w:rsid w:val="00593D35"/>
    <w:rsid w:val="005970E7"/>
    <w:rsid w:val="00597AE2"/>
    <w:rsid w:val="00597FF3"/>
    <w:rsid w:val="005B132B"/>
    <w:rsid w:val="005B1C5F"/>
    <w:rsid w:val="005B268E"/>
    <w:rsid w:val="005B2EC2"/>
    <w:rsid w:val="005C15E4"/>
    <w:rsid w:val="005C1C4B"/>
    <w:rsid w:val="005C1D5D"/>
    <w:rsid w:val="005C31A9"/>
    <w:rsid w:val="005C32FE"/>
    <w:rsid w:val="005D169B"/>
    <w:rsid w:val="005D369B"/>
    <w:rsid w:val="005D391F"/>
    <w:rsid w:val="005D4EF0"/>
    <w:rsid w:val="005D6EF3"/>
    <w:rsid w:val="005D7E25"/>
    <w:rsid w:val="005E041B"/>
    <w:rsid w:val="005E0AC7"/>
    <w:rsid w:val="005E412E"/>
    <w:rsid w:val="005E440A"/>
    <w:rsid w:val="005F1C31"/>
    <w:rsid w:val="005F292F"/>
    <w:rsid w:val="005F3E9D"/>
    <w:rsid w:val="006006D4"/>
    <w:rsid w:val="00603B1D"/>
    <w:rsid w:val="006055E4"/>
    <w:rsid w:val="00610CE8"/>
    <w:rsid w:val="00613D2C"/>
    <w:rsid w:val="00626EF8"/>
    <w:rsid w:val="006272AA"/>
    <w:rsid w:val="00631F57"/>
    <w:rsid w:val="0064440E"/>
    <w:rsid w:val="0064490A"/>
    <w:rsid w:val="0064663F"/>
    <w:rsid w:val="00651A5D"/>
    <w:rsid w:val="00653A10"/>
    <w:rsid w:val="0065414D"/>
    <w:rsid w:val="00655B0C"/>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9F"/>
    <w:rsid w:val="006A0E08"/>
    <w:rsid w:val="006A601E"/>
    <w:rsid w:val="006A6754"/>
    <w:rsid w:val="006A6F6A"/>
    <w:rsid w:val="006B2F2F"/>
    <w:rsid w:val="006B455C"/>
    <w:rsid w:val="006B56BE"/>
    <w:rsid w:val="006B6650"/>
    <w:rsid w:val="006B77D1"/>
    <w:rsid w:val="006C2636"/>
    <w:rsid w:val="006C3085"/>
    <w:rsid w:val="006C4DB1"/>
    <w:rsid w:val="006D7F0C"/>
    <w:rsid w:val="006E203B"/>
    <w:rsid w:val="006E4D56"/>
    <w:rsid w:val="006E5714"/>
    <w:rsid w:val="006E6EA7"/>
    <w:rsid w:val="006E770D"/>
    <w:rsid w:val="006F0B36"/>
    <w:rsid w:val="006F4770"/>
    <w:rsid w:val="00705091"/>
    <w:rsid w:val="00715759"/>
    <w:rsid w:val="00715F3F"/>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4EE0"/>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A17AE"/>
    <w:rsid w:val="007A5E50"/>
    <w:rsid w:val="007B104A"/>
    <w:rsid w:val="007B3138"/>
    <w:rsid w:val="007B3740"/>
    <w:rsid w:val="007B72E5"/>
    <w:rsid w:val="007C0E8C"/>
    <w:rsid w:val="007D26DA"/>
    <w:rsid w:val="007D3570"/>
    <w:rsid w:val="007D5B99"/>
    <w:rsid w:val="007E535E"/>
    <w:rsid w:val="007E7E23"/>
    <w:rsid w:val="007F5D7C"/>
    <w:rsid w:val="007F701D"/>
    <w:rsid w:val="007F7982"/>
    <w:rsid w:val="00800008"/>
    <w:rsid w:val="0080065E"/>
    <w:rsid w:val="008016C3"/>
    <w:rsid w:val="00801BD2"/>
    <w:rsid w:val="008067A3"/>
    <w:rsid w:val="00810848"/>
    <w:rsid w:val="00813091"/>
    <w:rsid w:val="00821F16"/>
    <w:rsid w:val="00822D21"/>
    <w:rsid w:val="00822E01"/>
    <w:rsid w:val="00823B75"/>
    <w:rsid w:val="0082443C"/>
    <w:rsid w:val="00830707"/>
    <w:rsid w:val="0083174A"/>
    <w:rsid w:val="00844783"/>
    <w:rsid w:val="00846FF8"/>
    <w:rsid w:val="00847A42"/>
    <w:rsid w:val="00847CDD"/>
    <w:rsid w:val="008521DD"/>
    <w:rsid w:val="008534A5"/>
    <w:rsid w:val="00854F34"/>
    <w:rsid w:val="00857C89"/>
    <w:rsid w:val="00865449"/>
    <w:rsid w:val="00867141"/>
    <w:rsid w:val="0086719D"/>
    <w:rsid w:val="008674AC"/>
    <w:rsid w:val="0087014D"/>
    <w:rsid w:val="0087447C"/>
    <w:rsid w:val="00877C91"/>
    <w:rsid w:val="008800F3"/>
    <w:rsid w:val="0088110D"/>
    <w:rsid w:val="00883F81"/>
    <w:rsid w:val="00890B05"/>
    <w:rsid w:val="0089113B"/>
    <w:rsid w:val="00892056"/>
    <w:rsid w:val="00894151"/>
    <w:rsid w:val="0089581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CAA"/>
    <w:rsid w:val="008E451A"/>
    <w:rsid w:val="008E4A9F"/>
    <w:rsid w:val="008E5549"/>
    <w:rsid w:val="008E5BE6"/>
    <w:rsid w:val="008E673A"/>
    <w:rsid w:val="008E7B04"/>
    <w:rsid w:val="008F2879"/>
    <w:rsid w:val="008F301C"/>
    <w:rsid w:val="008F40B9"/>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182"/>
    <w:rsid w:val="009475B4"/>
    <w:rsid w:val="00952DFC"/>
    <w:rsid w:val="009530AA"/>
    <w:rsid w:val="00953821"/>
    <w:rsid w:val="00956989"/>
    <w:rsid w:val="00963B18"/>
    <w:rsid w:val="00964BB2"/>
    <w:rsid w:val="00965A1D"/>
    <w:rsid w:val="00965E82"/>
    <w:rsid w:val="00972DC9"/>
    <w:rsid w:val="00977AA4"/>
    <w:rsid w:val="00981ACB"/>
    <w:rsid w:val="00983066"/>
    <w:rsid w:val="0098375A"/>
    <w:rsid w:val="00993A5C"/>
    <w:rsid w:val="00995AF2"/>
    <w:rsid w:val="0099604D"/>
    <w:rsid w:val="009A078A"/>
    <w:rsid w:val="009A4F5C"/>
    <w:rsid w:val="009A5551"/>
    <w:rsid w:val="009B1724"/>
    <w:rsid w:val="009B3E6F"/>
    <w:rsid w:val="009B4985"/>
    <w:rsid w:val="009B702B"/>
    <w:rsid w:val="009C4014"/>
    <w:rsid w:val="009C62AA"/>
    <w:rsid w:val="009C711B"/>
    <w:rsid w:val="009C72C0"/>
    <w:rsid w:val="009D1A1B"/>
    <w:rsid w:val="009D73FA"/>
    <w:rsid w:val="009D7C3D"/>
    <w:rsid w:val="009D7C78"/>
    <w:rsid w:val="009E278E"/>
    <w:rsid w:val="009E34DC"/>
    <w:rsid w:val="009E44FB"/>
    <w:rsid w:val="009F0D88"/>
    <w:rsid w:val="009F1103"/>
    <w:rsid w:val="009F3A48"/>
    <w:rsid w:val="009F5952"/>
    <w:rsid w:val="00A04460"/>
    <w:rsid w:val="00A06FE5"/>
    <w:rsid w:val="00A12F1B"/>
    <w:rsid w:val="00A15691"/>
    <w:rsid w:val="00A163C9"/>
    <w:rsid w:val="00A1763E"/>
    <w:rsid w:val="00A206BF"/>
    <w:rsid w:val="00A2078A"/>
    <w:rsid w:val="00A20D0B"/>
    <w:rsid w:val="00A21683"/>
    <w:rsid w:val="00A21769"/>
    <w:rsid w:val="00A22D50"/>
    <w:rsid w:val="00A255CF"/>
    <w:rsid w:val="00A30472"/>
    <w:rsid w:val="00A31BA2"/>
    <w:rsid w:val="00A31F06"/>
    <w:rsid w:val="00A33F35"/>
    <w:rsid w:val="00A34652"/>
    <w:rsid w:val="00A41109"/>
    <w:rsid w:val="00A47696"/>
    <w:rsid w:val="00A547CF"/>
    <w:rsid w:val="00A61CB9"/>
    <w:rsid w:val="00A6540D"/>
    <w:rsid w:val="00A666B6"/>
    <w:rsid w:val="00A7242F"/>
    <w:rsid w:val="00A74C4C"/>
    <w:rsid w:val="00A7597D"/>
    <w:rsid w:val="00A778BC"/>
    <w:rsid w:val="00A82E67"/>
    <w:rsid w:val="00A83249"/>
    <w:rsid w:val="00A838EF"/>
    <w:rsid w:val="00A8675F"/>
    <w:rsid w:val="00AA24A8"/>
    <w:rsid w:val="00AA491D"/>
    <w:rsid w:val="00AB050C"/>
    <w:rsid w:val="00AB43BC"/>
    <w:rsid w:val="00AC0555"/>
    <w:rsid w:val="00AC09B5"/>
    <w:rsid w:val="00AC14D1"/>
    <w:rsid w:val="00AC160E"/>
    <w:rsid w:val="00AC22CE"/>
    <w:rsid w:val="00AC348B"/>
    <w:rsid w:val="00AC3A8E"/>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780A"/>
    <w:rsid w:val="00AF7E0E"/>
    <w:rsid w:val="00B04553"/>
    <w:rsid w:val="00B050F4"/>
    <w:rsid w:val="00B0737B"/>
    <w:rsid w:val="00B0768B"/>
    <w:rsid w:val="00B10C3A"/>
    <w:rsid w:val="00B11932"/>
    <w:rsid w:val="00B11D08"/>
    <w:rsid w:val="00B15432"/>
    <w:rsid w:val="00B16058"/>
    <w:rsid w:val="00B1714E"/>
    <w:rsid w:val="00B173C9"/>
    <w:rsid w:val="00B27674"/>
    <w:rsid w:val="00B31F87"/>
    <w:rsid w:val="00B3258C"/>
    <w:rsid w:val="00B32F87"/>
    <w:rsid w:val="00B33428"/>
    <w:rsid w:val="00B370BA"/>
    <w:rsid w:val="00B42F4D"/>
    <w:rsid w:val="00B46687"/>
    <w:rsid w:val="00B50959"/>
    <w:rsid w:val="00B5234B"/>
    <w:rsid w:val="00B611CA"/>
    <w:rsid w:val="00B615BD"/>
    <w:rsid w:val="00B666E4"/>
    <w:rsid w:val="00B72CFC"/>
    <w:rsid w:val="00B76721"/>
    <w:rsid w:val="00B80F1E"/>
    <w:rsid w:val="00B81BF1"/>
    <w:rsid w:val="00B826AD"/>
    <w:rsid w:val="00B86541"/>
    <w:rsid w:val="00B86FF4"/>
    <w:rsid w:val="00B877CC"/>
    <w:rsid w:val="00B92235"/>
    <w:rsid w:val="00B942D5"/>
    <w:rsid w:val="00B946AA"/>
    <w:rsid w:val="00B968D8"/>
    <w:rsid w:val="00BA08A1"/>
    <w:rsid w:val="00BA0E44"/>
    <w:rsid w:val="00BA4D70"/>
    <w:rsid w:val="00BA5C49"/>
    <w:rsid w:val="00BB2011"/>
    <w:rsid w:val="00BB5571"/>
    <w:rsid w:val="00BB7263"/>
    <w:rsid w:val="00BC018F"/>
    <w:rsid w:val="00BC7B61"/>
    <w:rsid w:val="00BD1FEF"/>
    <w:rsid w:val="00BD56C4"/>
    <w:rsid w:val="00BD69AF"/>
    <w:rsid w:val="00BE318E"/>
    <w:rsid w:val="00BE44B4"/>
    <w:rsid w:val="00BE7DF8"/>
    <w:rsid w:val="00BF2BDC"/>
    <w:rsid w:val="00BF3127"/>
    <w:rsid w:val="00BF5916"/>
    <w:rsid w:val="00C04D41"/>
    <w:rsid w:val="00C04D58"/>
    <w:rsid w:val="00C0552D"/>
    <w:rsid w:val="00C14F22"/>
    <w:rsid w:val="00C2487B"/>
    <w:rsid w:val="00C3554B"/>
    <w:rsid w:val="00C40B63"/>
    <w:rsid w:val="00C40B7C"/>
    <w:rsid w:val="00C50E27"/>
    <w:rsid w:val="00C53416"/>
    <w:rsid w:val="00C54B21"/>
    <w:rsid w:val="00C55C33"/>
    <w:rsid w:val="00C562AD"/>
    <w:rsid w:val="00C570D7"/>
    <w:rsid w:val="00C61466"/>
    <w:rsid w:val="00C65463"/>
    <w:rsid w:val="00C71CAC"/>
    <w:rsid w:val="00C72015"/>
    <w:rsid w:val="00C73B22"/>
    <w:rsid w:val="00C744A0"/>
    <w:rsid w:val="00C75B5A"/>
    <w:rsid w:val="00C82610"/>
    <w:rsid w:val="00C8446D"/>
    <w:rsid w:val="00C844C8"/>
    <w:rsid w:val="00C869E2"/>
    <w:rsid w:val="00C8723B"/>
    <w:rsid w:val="00C90FE4"/>
    <w:rsid w:val="00C91830"/>
    <w:rsid w:val="00C91BAD"/>
    <w:rsid w:val="00C95D0F"/>
    <w:rsid w:val="00CA01C6"/>
    <w:rsid w:val="00CA2648"/>
    <w:rsid w:val="00CA6012"/>
    <w:rsid w:val="00CB2979"/>
    <w:rsid w:val="00CB2A77"/>
    <w:rsid w:val="00CB3551"/>
    <w:rsid w:val="00CC115A"/>
    <w:rsid w:val="00CC5483"/>
    <w:rsid w:val="00CD0982"/>
    <w:rsid w:val="00CD20CB"/>
    <w:rsid w:val="00CD2975"/>
    <w:rsid w:val="00CD6512"/>
    <w:rsid w:val="00CE0960"/>
    <w:rsid w:val="00CE5026"/>
    <w:rsid w:val="00CF0D45"/>
    <w:rsid w:val="00CF47ED"/>
    <w:rsid w:val="00CF6CBD"/>
    <w:rsid w:val="00CF7411"/>
    <w:rsid w:val="00D05346"/>
    <w:rsid w:val="00D067C0"/>
    <w:rsid w:val="00D06B48"/>
    <w:rsid w:val="00D07DAE"/>
    <w:rsid w:val="00D16710"/>
    <w:rsid w:val="00D16E5F"/>
    <w:rsid w:val="00D244CB"/>
    <w:rsid w:val="00D35B28"/>
    <w:rsid w:val="00D36009"/>
    <w:rsid w:val="00D37437"/>
    <w:rsid w:val="00D37D0B"/>
    <w:rsid w:val="00D403D5"/>
    <w:rsid w:val="00D40690"/>
    <w:rsid w:val="00D40F25"/>
    <w:rsid w:val="00D4270D"/>
    <w:rsid w:val="00D42C2D"/>
    <w:rsid w:val="00D434B8"/>
    <w:rsid w:val="00D43792"/>
    <w:rsid w:val="00D44057"/>
    <w:rsid w:val="00D4482B"/>
    <w:rsid w:val="00D50DEA"/>
    <w:rsid w:val="00D51BE9"/>
    <w:rsid w:val="00D51E45"/>
    <w:rsid w:val="00D53967"/>
    <w:rsid w:val="00D540A7"/>
    <w:rsid w:val="00D55C4F"/>
    <w:rsid w:val="00D6119F"/>
    <w:rsid w:val="00D62DC7"/>
    <w:rsid w:val="00D673EF"/>
    <w:rsid w:val="00D70413"/>
    <w:rsid w:val="00D71EFE"/>
    <w:rsid w:val="00D748C2"/>
    <w:rsid w:val="00D7530D"/>
    <w:rsid w:val="00D77A53"/>
    <w:rsid w:val="00D82881"/>
    <w:rsid w:val="00D86082"/>
    <w:rsid w:val="00D87076"/>
    <w:rsid w:val="00D91BCC"/>
    <w:rsid w:val="00D9522E"/>
    <w:rsid w:val="00D96E4C"/>
    <w:rsid w:val="00DA3947"/>
    <w:rsid w:val="00DA4E5D"/>
    <w:rsid w:val="00DA5D36"/>
    <w:rsid w:val="00DB5BF1"/>
    <w:rsid w:val="00DC172F"/>
    <w:rsid w:val="00DC6B61"/>
    <w:rsid w:val="00DC75B6"/>
    <w:rsid w:val="00DC7ED7"/>
    <w:rsid w:val="00DD3C82"/>
    <w:rsid w:val="00DD3D7E"/>
    <w:rsid w:val="00DD788B"/>
    <w:rsid w:val="00DE0133"/>
    <w:rsid w:val="00DE3B98"/>
    <w:rsid w:val="00DE4393"/>
    <w:rsid w:val="00DE4687"/>
    <w:rsid w:val="00DE572B"/>
    <w:rsid w:val="00DF1F47"/>
    <w:rsid w:val="00DF569C"/>
    <w:rsid w:val="00DF73DB"/>
    <w:rsid w:val="00DF7667"/>
    <w:rsid w:val="00E01DD2"/>
    <w:rsid w:val="00E02E7D"/>
    <w:rsid w:val="00E0759D"/>
    <w:rsid w:val="00E14F08"/>
    <w:rsid w:val="00E15ECB"/>
    <w:rsid w:val="00E1780F"/>
    <w:rsid w:val="00E20992"/>
    <w:rsid w:val="00E21D36"/>
    <w:rsid w:val="00E228D7"/>
    <w:rsid w:val="00E23C56"/>
    <w:rsid w:val="00E2621F"/>
    <w:rsid w:val="00E3160D"/>
    <w:rsid w:val="00E40A6E"/>
    <w:rsid w:val="00E40CED"/>
    <w:rsid w:val="00E41881"/>
    <w:rsid w:val="00E44E26"/>
    <w:rsid w:val="00E46CA4"/>
    <w:rsid w:val="00E4705C"/>
    <w:rsid w:val="00E4710E"/>
    <w:rsid w:val="00E51116"/>
    <w:rsid w:val="00E524CD"/>
    <w:rsid w:val="00E52CB1"/>
    <w:rsid w:val="00E533B5"/>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33C1"/>
    <w:rsid w:val="00EA39E1"/>
    <w:rsid w:val="00EB0621"/>
    <w:rsid w:val="00EB6940"/>
    <w:rsid w:val="00EC0587"/>
    <w:rsid w:val="00EC0798"/>
    <w:rsid w:val="00EC1198"/>
    <w:rsid w:val="00EC1520"/>
    <w:rsid w:val="00EC3755"/>
    <w:rsid w:val="00EC4DF7"/>
    <w:rsid w:val="00EC7D89"/>
    <w:rsid w:val="00ED23A0"/>
    <w:rsid w:val="00ED391D"/>
    <w:rsid w:val="00ED50CF"/>
    <w:rsid w:val="00ED5994"/>
    <w:rsid w:val="00EE412A"/>
    <w:rsid w:val="00EE6A77"/>
    <w:rsid w:val="00EE7E62"/>
    <w:rsid w:val="00EF68C5"/>
    <w:rsid w:val="00F02293"/>
    <w:rsid w:val="00F07361"/>
    <w:rsid w:val="00F07DC1"/>
    <w:rsid w:val="00F12615"/>
    <w:rsid w:val="00F17B92"/>
    <w:rsid w:val="00F21E78"/>
    <w:rsid w:val="00F22AFA"/>
    <w:rsid w:val="00F27AC8"/>
    <w:rsid w:val="00F34E4E"/>
    <w:rsid w:val="00F45E9D"/>
    <w:rsid w:val="00F54992"/>
    <w:rsid w:val="00F5549C"/>
    <w:rsid w:val="00F573A0"/>
    <w:rsid w:val="00F57F44"/>
    <w:rsid w:val="00F61CA5"/>
    <w:rsid w:val="00F64AB8"/>
    <w:rsid w:val="00F64C56"/>
    <w:rsid w:val="00F66720"/>
    <w:rsid w:val="00F67F3D"/>
    <w:rsid w:val="00F70D10"/>
    <w:rsid w:val="00F75296"/>
    <w:rsid w:val="00F761A9"/>
    <w:rsid w:val="00F77170"/>
    <w:rsid w:val="00F77BCB"/>
    <w:rsid w:val="00F84274"/>
    <w:rsid w:val="00F901F7"/>
    <w:rsid w:val="00F91ADA"/>
    <w:rsid w:val="00FA6D88"/>
    <w:rsid w:val="00FA7639"/>
    <w:rsid w:val="00FB0793"/>
    <w:rsid w:val="00FB7004"/>
    <w:rsid w:val="00FB7E88"/>
    <w:rsid w:val="00FC2F0C"/>
    <w:rsid w:val="00FC3F44"/>
    <w:rsid w:val="00FD2A15"/>
    <w:rsid w:val="00FD4016"/>
    <w:rsid w:val="00FD5D67"/>
    <w:rsid w:val="00FD67B7"/>
    <w:rsid w:val="00FD7D8C"/>
    <w:rsid w:val="00FE35A9"/>
    <w:rsid w:val="00FF07B6"/>
    <w:rsid w:val="00FF517C"/>
    <w:rsid w:val="00FF6527"/>
    <w:rsid w:val="00FF6767"/>
    <w:rsid w:val="00FF6E0F"/>
    <w:rsid w:val="00FF7919"/>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13E491-E375-4B31-84BF-DB522BD0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D26DA"/>
    <w:pPr>
      <w:numPr>
        <w:numId w:val="7"/>
      </w:numPr>
      <w:ind w:left="993" w:hanging="63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26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42B1F"/>
    <w:pPr>
      <w:numPr>
        <w:numId w:val="33"/>
      </w:numPr>
      <w:spacing w:before="200"/>
      <w:ind w:left="1985"/>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42B1F"/>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E558-5B6B-456C-8A06-3154C380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Tony Sammon</cp:lastModifiedBy>
  <cp:revision>4</cp:revision>
  <dcterms:created xsi:type="dcterms:W3CDTF">2018-04-01T16:51:00Z</dcterms:created>
  <dcterms:modified xsi:type="dcterms:W3CDTF">2018-04-10T10:35:00Z</dcterms:modified>
</cp:coreProperties>
</file>