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noProof/>
        </w:rPr>
        <w:id w:val="-794670729"/>
        <w:docPartObj>
          <w:docPartGallery w:val="Cover Pages"/>
          <w:docPartUnique/>
        </w:docPartObj>
      </w:sdtPr>
      <w:sdtEndPr>
        <w:rPr>
          <w:rFonts w:eastAsiaTheme="majorEastAsia"/>
          <w:noProof w:val="0"/>
          <w:color w:val="000000" w:themeColor="text1"/>
          <w:sz w:val="96"/>
          <w:szCs w:val="80"/>
          <w:lang w:eastAsia="ja-JP"/>
        </w:rPr>
      </w:sdtEndPr>
      <w:sdtContent>
        <w:p w14:paraId="5451339A" w14:textId="549112C3" w:rsidR="00AA0B75" w:rsidRPr="000B450B" w:rsidRDefault="00AA0B75" w:rsidP="00881DB6">
          <w:pPr>
            <w:rPr>
              <w:rFonts w:ascii="Arial" w:hAnsi="Arial" w:cs="Arial"/>
              <w:color w:val="000000" w:themeColor="text1"/>
            </w:rPr>
          </w:pPr>
          <w:r w:rsidRPr="000B450B">
            <w:rPr>
              <w:rFonts w:ascii="Arial" w:hAnsi="Arial" w:cs="Arial"/>
              <w:color w:val="000000" w:themeColor="text1"/>
            </w:rPr>
            <w:t xml:space="preserve"> </w:t>
          </w:r>
        </w:p>
        <w:p w14:paraId="4A357D53" w14:textId="65619F2D" w:rsidR="00AA0B75" w:rsidRPr="000B450B" w:rsidRDefault="00AA0B75" w:rsidP="00EB5683">
          <w:pPr>
            <w:rPr>
              <w:rFonts w:ascii="Arial" w:hAnsi="Arial" w:cs="Arial"/>
              <w:color w:val="000000" w:themeColor="text1"/>
            </w:rPr>
          </w:pPr>
        </w:p>
        <w:p w14:paraId="64FC1AF1" w14:textId="2624BED4" w:rsidR="00EE024B" w:rsidRDefault="00881DB6" w:rsidP="00EB5683">
          <w:pPr>
            <w:rPr>
              <w:rFonts w:ascii="Arial" w:eastAsiaTheme="majorEastAsia" w:hAnsi="Arial" w:cs="Arial"/>
              <w:color w:val="000000" w:themeColor="text1"/>
              <w:sz w:val="96"/>
              <w:szCs w:val="80"/>
              <w:lang w:eastAsia="ja-JP"/>
            </w:rPr>
          </w:pPr>
          <w:r>
            <w:rPr>
              <w:rFonts w:ascii="Arial" w:eastAsiaTheme="majorEastAsia" w:hAnsi="Arial" w:cs="Arial"/>
              <w:noProof/>
              <w:color w:val="000000" w:themeColor="text1"/>
              <w:sz w:val="72"/>
              <w:szCs w:val="72"/>
              <w:lang w:eastAsia="en-GB"/>
            </w:rPr>
            <w:drawing>
              <wp:anchor distT="0" distB="0" distL="114300" distR="114300" simplePos="0" relativeHeight="251664384" behindDoc="1" locked="0" layoutInCell="1" allowOverlap="1" wp14:anchorId="30284A26" wp14:editId="39A6BE8C">
                <wp:simplePos x="0" y="0"/>
                <wp:positionH relativeFrom="column">
                  <wp:posOffset>381000</wp:posOffset>
                </wp:positionH>
                <wp:positionV relativeFrom="paragraph">
                  <wp:posOffset>843280</wp:posOffset>
                </wp:positionV>
                <wp:extent cx="4962525" cy="1340970"/>
                <wp:effectExtent l="0" t="0" r="0" b="0"/>
                <wp:wrapTight wrapText="bothSides">
                  <wp:wrapPolygon edited="0">
                    <wp:start x="0" y="0"/>
                    <wp:lineTo x="0" y="21180"/>
                    <wp:lineTo x="21476" y="21180"/>
                    <wp:lineTo x="214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62525" cy="1340970"/>
                        </a:xfrm>
                        <a:prstGeom prst="rect">
                          <a:avLst/>
                        </a:prstGeom>
                      </pic:spPr>
                    </pic:pic>
                  </a:graphicData>
                </a:graphic>
              </wp:anchor>
            </w:drawing>
          </w:r>
        </w:p>
      </w:sdtContent>
    </w:sdt>
    <w:p w14:paraId="73ACFC6B" w14:textId="6A308E31" w:rsidR="000C07AC" w:rsidRDefault="000C07AC" w:rsidP="00EB5683">
      <w:pPr>
        <w:rPr>
          <w:rFonts w:ascii="Arial" w:eastAsiaTheme="majorEastAsia" w:hAnsi="Arial" w:cs="Arial"/>
          <w:color w:val="FFD006"/>
          <w:sz w:val="96"/>
          <w:szCs w:val="80"/>
          <w:lang w:eastAsia="ja-JP"/>
        </w:rPr>
      </w:pPr>
    </w:p>
    <w:p w14:paraId="63CBE04A" w14:textId="1F6865B4" w:rsidR="00881DB6" w:rsidRDefault="00881DB6" w:rsidP="00EB5683">
      <w:pPr>
        <w:rPr>
          <w:rFonts w:ascii="Arial" w:eastAsiaTheme="majorEastAsia" w:hAnsi="Arial" w:cs="Arial"/>
          <w:color w:val="FFD006"/>
          <w:sz w:val="96"/>
          <w:szCs w:val="80"/>
          <w:lang w:eastAsia="ja-JP"/>
        </w:rPr>
      </w:pPr>
    </w:p>
    <w:p w14:paraId="423A0FFE" w14:textId="48844B21" w:rsidR="00881DB6" w:rsidRPr="000C07AC" w:rsidRDefault="00881DB6" w:rsidP="00EB5683">
      <w:pPr>
        <w:rPr>
          <w:rFonts w:ascii="Arial" w:eastAsiaTheme="majorEastAsia" w:hAnsi="Arial" w:cs="Arial"/>
          <w:color w:val="FFD006"/>
          <w:sz w:val="96"/>
          <w:szCs w:val="80"/>
          <w:lang w:eastAsia="ja-JP"/>
        </w:rPr>
      </w:pPr>
    </w:p>
    <w:p w14:paraId="667FEB87" w14:textId="6AB98502" w:rsidR="00AD4155" w:rsidRPr="00F165AD" w:rsidRDefault="00E62D51" w:rsidP="00881DB6">
      <w:pPr>
        <w:jc w:val="center"/>
        <w:rPr>
          <w:rFonts w:ascii="Arial" w:eastAsiaTheme="majorEastAsia" w:hAnsi="Arial" w:cs="Arial"/>
          <w:color w:val="000000" w:themeColor="text1"/>
          <w:sz w:val="72"/>
          <w:szCs w:val="80"/>
          <w:lang w:val="en-US" w:eastAsia="ja-JP"/>
        </w:rPr>
      </w:pPr>
      <w:r>
        <w:rPr>
          <w:rFonts w:ascii="Arial" w:eastAsiaTheme="majorEastAsia" w:hAnsi="Arial" w:cs="Arial"/>
          <w:color w:val="000000" w:themeColor="text1"/>
          <w:sz w:val="72"/>
          <w:szCs w:val="72"/>
          <w:lang w:eastAsia="ja-JP"/>
        </w:rPr>
        <w:t>Non-Examination Assessment Policy</w:t>
      </w:r>
    </w:p>
    <w:p w14:paraId="77677814" w14:textId="77777777" w:rsidR="00D06CE6" w:rsidRDefault="00D06CE6" w:rsidP="00EB5683">
      <w:pPr>
        <w:jc w:val="center"/>
        <w:rPr>
          <w:rFonts w:ascii="Arial" w:eastAsiaTheme="majorEastAsia" w:hAnsi="Arial" w:cs="Arial"/>
          <w:color w:val="2F2F30" w:themeColor="accent1" w:themeShade="BF"/>
          <w:sz w:val="80"/>
          <w:szCs w:val="80"/>
          <w:lang w:val="en-US" w:eastAsia="ja-JP"/>
        </w:rPr>
      </w:pPr>
    </w:p>
    <w:p w14:paraId="404AA21C" w14:textId="206FADB3" w:rsidR="000A28A0" w:rsidRDefault="00000162" w:rsidP="00EB5683">
      <w:pPr>
        <w:jc w:val="center"/>
        <w:rPr>
          <w:rFonts w:ascii="Arial" w:eastAsiaTheme="majorEastAsia" w:hAnsi="Arial" w:cs="Arial"/>
          <w:color w:val="2F2F30" w:themeColor="accent1" w:themeShade="BF"/>
          <w:sz w:val="80"/>
          <w:szCs w:val="80"/>
          <w:lang w:val="en-US" w:eastAsia="ja-JP"/>
        </w:rPr>
      </w:pPr>
      <w:r w:rsidRPr="00000162">
        <w:rPr>
          <w:rFonts w:ascii="Arial" w:hAnsi="Arial" w:cs="Arial"/>
          <w:b/>
          <w:noProof/>
          <w:sz w:val="28"/>
          <w:szCs w:val="28"/>
          <w:lang w:eastAsia="en-GB"/>
        </w:rPr>
        <mc:AlternateContent>
          <mc:Choice Requires="wps">
            <w:drawing>
              <wp:anchor distT="45720" distB="45720" distL="114300" distR="114300" simplePos="0" relativeHeight="251657216" behindDoc="0" locked="0" layoutInCell="1" allowOverlap="1" wp14:anchorId="605FD057" wp14:editId="4991A112">
                <wp:simplePos x="0" y="0"/>
                <wp:positionH relativeFrom="column">
                  <wp:posOffset>-171450</wp:posOffset>
                </wp:positionH>
                <wp:positionV relativeFrom="paragraph">
                  <wp:posOffset>2592070</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352C147A" w14:textId="7ABF12F3" w:rsidR="00095F9F" w:rsidRPr="00000162" w:rsidRDefault="00095F9F">
                            <w:pPr>
                              <w:rPr>
                                <w:rFonts w:ascii="Arial" w:hAnsi="Arial" w:cs="Arial"/>
                                <w:sz w:val="20"/>
                              </w:rPr>
                            </w:pPr>
                            <w:r w:rsidRPr="00000162">
                              <w:rPr>
                                <w:rFonts w:ascii="Arial" w:hAnsi="Arial" w:cs="Arial"/>
                                <w:sz w:val="20"/>
                              </w:rPr>
                              <w:t xml:space="preserve">Last updated: </w:t>
                            </w:r>
                            <w:r>
                              <w:rPr>
                                <w:rFonts w:ascii="Arial" w:hAnsi="Arial" w:cs="Arial"/>
                                <w:sz w:val="20"/>
                              </w:rPr>
                              <w:t>29</w:t>
                            </w:r>
                            <w:r w:rsidRPr="00000162">
                              <w:rPr>
                                <w:rFonts w:ascii="Arial" w:hAnsi="Arial" w:cs="Arial"/>
                                <w:sz w:val="20"/>
                              </w:rPr>
                              <w:t xml:space="preserve"> </w:t>
                            </w:r>
                            <w:r>
                              <w:rPr>
                                <w:rFonts w:ascii="Arial" w:hAnsi="Arial" w:cs="Arial"/>
                                <w:sz w:val="20"/>
                              </w:rPr>
                              <w:t>September</w:t>
                            </w:r>
                            <w:r w:rsidRPr="00000162">
                              <w:rPr>
                                <w:rFonts w:ascii="Arial" w:hAnsi="Arial" w:cs="Arial"/>
                                <w:sz w:val="20"/>
                              </w:rPr>
                              <w:t xml:space="preserve"> 201</w:t>
                            </w:r>
                            <w:r>
                              <w:rPr>
                                <w:rFonts w:ascii="Arial" w:hAnsi="Arial" w:cs="Arial"/>
                                <w:sz w:val="20"/>
                              </w:rPr>
                              <w:t>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05FD057" id="_x0000_t202" coordsize="21600,21600" o:spt="202" path="m,l,21600r21600,l21600,xe">
                <v:stroke joinstyle="miter"/>
                <v:path gradientshapeok="t" o:connecttype="rect"/>
              </v:shapetype>
              <v:shape id="Text Box 2" o:spid="_x0000_s1026" type="#_x0000_t202" style="position:absolute;left:0;text-align:left;margin-left:-13.5pt;margin-top:204.1pt;width:185.9pt;height:19.7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" stroked="f">
                <v:textbox>
                  <w:txbxContent>
                    <w:p w14:paraId="352C147A" w14:textId="7ABF12F3" w:rsidR="00095F9F" w:rsidRPr="00000162" w:rsidRDefault="00095F9F">
                      <w:pPr>
                        <w:rPr>
                          <w:rFonts w:ascii="Arial" w:hAnsi="Arial" w:cs="Arial"/>
                          <w:sz w:val="20"/>
                        </w:rPr>
                      </w:pPr>
                      <w:r w:rsidRPr="00000162">
                        <w:rPr>
                          <w:rFonts w:ascii="Arial" w:hAnsi="Arial" w:cs="Arial"/>
                          <w:sz w:val="20"/>
                        </w:rPr>
                        <w:t xml:space="preserve">Last updated: </w:t>
                      </w:r>
                      <w:r>
                        <w:rPr>
                          <w:rFonts w:ascii="Arial" w:hAnsi="Arial" w:cs="Arial"/>
                          <w:sz w:val="20"/>
                        </w:rPr>
                        <w:t>29</w:t>
                      </w:r>
                      <w:r w:rsidRPr="00000162">
                        <w:rPr>
                          <w:rFonts w:ascii="Arial" w:hAnsi="Arial" w:cs="Arial"/>
                          <w:sz w:val="20"/>
                        </w:rPr>
                        <w:t xml:space="preserve"> </w:t>
                      </w:r>
                      <w:r>
                        <w:rPr>
                          <w:rFonts w:ascii="Arial" w:hAnsi="Arial" w:cs="Arial"/>
                          <w:sz w:val="20"/>
                        </w:rPr>
                        <w:t>September</w:t>
                      </w:r>
                      <w:r w:rsidRPr="00000162">
                        <w:rPr>
                          <w:rFonts w:ascii="Arial" w:hAnsi="Arial" w:cs="Arial"/>
                          <w:sz w:val="20"/>
                        </w:rPr>
                        <w:t xml:space="preserve"> 201</w:t>
                      </w:r>
                      <w:r>
                        <w:rPr>
                          <w:rFonts w:ascii="Arial" w:hAnsi="Arial" w:cs="Arial"/>
                          <w:sz w:val="20"/>
                        </w:rPr>
                        <w:t>7</w:t>
                      </w:r>
                    </w:p>
                  </w:txbxContent>
                </v:textbox>
                <w10:wrap type="square"/>
              </v:shape>
            </w:pict>
          </mc:Fallback>
        </mc:AlternateContent>
      </w:r>
    </w:p>
    <w:p w14:paraId="0A39D65B" w14:textId="77777777" w:rsidR="000A28A0" w:rsidRDefault="000A28A0" w:rsidP="00EB5683">
      <w:pPr>
        <w:jc w:val="center"/>
        <w:rPr>
          <w:rFonts w:ascii="Arial" w:eastAsiaTheme="majorEastAsia" w:hAnsi="Arial" w:cs="Arial"/>
          <w:color w:val="2F2F30" w:themeColor="accent1" w:themeShade="BF"/>
          <w:sz w:val="80"/>
          <w:szCs w:val="80"/>
          <w:lang w:val="en-US" w:eastAsia="ja-JP"/>
        </w:rPr>
        <w:sectPr w:rsidR="000A28A0" w:rsidSect="00226E4A">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3FDAE915" w14:textId="0F46EC17" w:rsidR="00AD4155" w:rsidRPr="00BB7420" w:rsidRDefault="00AD4155" w:rsidP="00BB7420">
      <w:pPr>
        <w:pStyle w:val="ListParagraph"/>
        <w:spacing w:before="120" w:after="120"/>
        <w:ind w:left="360"/>
      </w:pPr>
      <w:r w:rsidRPr="00095F9F">
        <w:rPr>
          <w:rFonts w:ascii="Arial" w:hAnsi="Arial" w:cs="Arial"/>
          <w:b/>
          <w:sz w:val="28"/>
        </w:rPr>
        <w:lastRenderedPageBreak/>
        <w:t>Contents:</w:t>
      </w:r>
    </w:p>
    <w:p w14:paraId="4C2C9748" w14:textId="2E231393" w:rsidR="0053371E" w:rsidRPr="00237825" w:rsidRDefault="00237825" w:rsidP="00BB7420">
      <w:pPr>
        <w:ind w:left="714"/>
        <w:rPr>
          <w:rStyle w:val="Hyperlink"/>
          <w:rFonts w:ascii="Arial" w:hAnsi="Arial" w:cs="Arial"/>
          <w:sz w:val="14"/>
        </w:rPr>
      </w:pPr>
      <w:r>
        <w:rPr>
          <w:rFonts w:ascii="Arial" w:hAnsi="Arial" w:cs="Arial"/>
        </w:rPr>
        <w:fldChar w:fldCharType="begin"/>
      </w:r>
      <w:r>
        <w:rPr>
          <w:rFonts w:ascii="Arial" w:hAnsi="Arial" w:cs="Arial"/>
        </w:rPr>
        <w:instrText xml:space="preserve"> HYPERLINK  \l "_Statement_of_intent_1" </w:instrText>
      </w:r>
      <w:r>
        <w:rPr>
          <w:rFonts w:ascii="Arial" w:hAnsi="Arial" w:cs="Arial"/>
        </w:rPr>
        <w:fldChar w:fldCharType="separate"/>
      </w:r>
      <w:r w:rsidR="00AD4155" w:rsidRPr="00237825">
        <w:rPr>
          <w:rStyle w:val="Hyperlink"/>
          <w:rFonts w:ascii="Arial" w:hAnsi="Arial" w:cs="Arial"/>
        </w:rPr>
        <w:t>Statement of intent</w:t>
      </w:r>
      <w:bookmarkStart w:id="0" w:name="b"/>
    </w:p>
    <w:p w14:paraId="65B47806" w14:textId="3982C19B" w:rsidR="0053371E" w:rsidRPr="00022F89" w:rsidRDefault="00237825" w:rsidP="00095F9F">
      <w:pPr>
        <w:pStyle w:val="ListParagraph"/>
        <w:numPr>
          <w:ilvl w:val="0"/>
          <w:numId w:val="1"/>
        </w:numPr>
        <w:spacing w:after="0"/>
        <w:ind w:left="1077"/>
        <w:contextualSpacing w:val="0"/>
        <w:rPr>
          <w:rFonts w:ascii="Arial" w:hAnsi="Arial" w:cs="Arial"/>
          <w:sz w:val="10"/>
        </w:rPr>
      </w:pPr>
      <w:r>
        <w:rPr>
          <w:rFonts w:ascii="Arial" w:hAnsi="Arial" w:cs="Arial"/>
        </w:rPr>
        <w:fldChar w:fldCharType="end"/>
      </w:r>
      <w:hyperlink w:anchor="_Background" w:history="1">
        <w:r w:rsidR="00850393">
          <w:rPr>
            <w:rStyle w:val="Hyperlink"/>
          </w:rPr>
          <w:t>Legal f</w:t>
        </w:r>
        <w:r w:rsidR="00850393" w:rsidRPr="00850393">
          <w:rPr>
            <w:rStyle w:val="Hyperlink"/>
          </w:rPr>
          <w:t>ramework</w:t>
        </w:r>
      </w:hyperlink>
      <w:r w:rsidR="00850393">
        <w:t xml:space="preserve"> </w:t>
      </w:r>
    </w:p>
    <w:bookmarkEnd w:id="0"/>
    <w:p w14:paraId="6534AD98" w14:textId="6B240028" w:rsidR="00850393" w:rsidRDefault="00850393" w:rsidP="00095F9F">
      <w:pPr>
        <w:pStyle w:val="ListParagraph"/>
        <w:numPr>
          <w:ilvl w:val="0"/>
          <w:numId w:val="1"/>
        </w:numPr>
        <w:spacing w:after="0"/>
        <w:ind w:left="1077"/>
        <w:contextualSpacing w:val="0"/>
        <w:rPr>
          <w:rFonts w:ascii="Arial" w:hAnsi="Arial" w:cs="Arial"/>
        </w:rPr>
      </w:pPr>
      <w:r>
        <w:rPr>
          <w:rFonts w:ascii="Arial" w:hAnsi="Arial" w:cs="Arial"/>
        </w:rPr>
        <w:fldChar w:fldCharType="begin"/>
      </w:r>
      <w:r>
        <w:rPr>
          <w:rFonts w:ascii="Arial" w:hAnsi="Arial" w:cs="Arial"/>
        </w:rPr>
        <w:instrText xml:space="preserve"> HYPERLINK  \l "_Roles_and_responsibilities" </w:instrText>
      </w:r>
      <w:r>
        <w:rPr>
          <w:rFonts w:ascii="Arial" w:hAnsi="Arial" w:cs="Arial"/>
        </w:rPr>
        <w:fldChar w:fldCharType="separate"/>
      </w:r>
      <w:r w:rsidRPr="00850393">
        <w:rPr>
          <w:rStyle w:val="Hyperlink"/>
          <w:rFonts w:ascii="Arial" w:hAnsi="Arial" w:cs="Arial"/>
        </w:rPr>
        <w:t>Roles and responsibilities</w:t>
      </w:r>
      <w:r>
        <w:rPr>
          <w:rFonts w:ascii="Arial" w:hAnsi="Arial" w:cs="Arial"/>
        </w:rPr>
        <w:fldChar w:fldCharType="end"/>
      </w:r>
      <w:r>
        <w:rPr>
          <w:rFonts w:ascii="Arial" w:hAnsi="Arial" w:cs="Arial"/>
        </w:rPr>
        <w:t xml:space="preserve"> </w:t>
      </w:r>
    </w:p>
    <w:p w14:paraId="1DFB0E42" w14:textId="50143249" w:rsidR="0053371E" w:rsidRPr="006A4A87" w:rsidRDefault="006A4A87" w:rsidP="00095F9F">
      <w:pPr>
        <w:pStyle w:val="ListParagraph"/>
        <w:numPr>
          <w:ilvl w:val="0"/>
          <w:numId w:val="1"/>
        </w:numPr>
        <w:spacing w:after="0"/>
        <w:ind w:left="1077"/>
        <w:contextualSpacing w:val="0"/>
        <w:rPr>
          <w:rStyle w:val="Hyperlink"/>
          <w:rFonts w:ascii="Arial" w:hAnsi="Arial" w:cs="Arial"/>
        </w:rPr>
      </w:pPr>
      <w:r>
        <w:rPr>
          <w:rFonts w:ascii="Arial" w:hAnsi="Arial" w:cs="Arial"/>
        </w:rPr>
        <w:fldChar w:fldCharType="begin"/>
      </w:r>
      <w:r>
        <w:rPr>
          <w:rFonts w:ascii="Arial" w:hAnsi="Arial" w:cs="Arial"/>
        </w:rPr>
        <w:instrText xml:space="preserve"> HYPERLINK  \l "_The_basic_principles" </w:instrText>
      </w:r>
      <w:r>
        <w:rPr>
          <w:rFonts w:ascii="Arial" w:hAnsi="Arial" w:cs="Arial"/>
        </w:rPr>
        <w:fldChar w:fldCharType="separate"/>
      </w:r>
      <w:r w:rsidR="00403FC1" w:rsidRPr="00881B51">
        <w:rPr>
          <w:rStyle w:val="Hyperlink"/>
          <w:rFonts w:ascii="Arial" w:hAnsi="Arial" w:cs="Arial"/>
        </w:rPr>
        <w:t>The</w:t>
      </w:r>
      <w:r w:rsidR="00403FC1" w:rsidRPr="006A4A87">
        <w:rPr>
          <w:rStyle w:val="Hyperlink"/>
          <w:rFonts w:ascii="Arial" w:hAnsi="Arial" w:cs="Arial"/>
        </w:rPr>
        <w:t xml:space="preserve"> basic </w:t>
      </w:r>
      <w:r w:rsidR="00403FC1" w:rsidRPr="00881B51" w:rsidDel="006A4A87">
        <w:rPr>
          <w:rStyle w:val="Hyperlink"/>
          <w:rFonts w:ascii="Arial" w:hAnsi="Arial" w:cs="Arial"/>
        </w:rPr>
        <w:t>principles</w:t>
      </w:r>
    </w:p>
    <w:p w14:paraId="48245376" w14:textId="374D6AC8" w:rsidR="00655145" w:rsidRPr="004C487C" w:rsidRDefault="006A4A87" w:rsidP="004C487C">
      <w:pPr>
        <w:pStyle w:val="Style2"/>
        <w:numPr>
          <w:ilvl w:val="0"/>
          <w:numId w:val="1"/>
        </w:numPr>
        <w:spacing w:after="0"/>
        <w:ind w:left="1077"/>
        <w:rPr>
          <w:rFonts w:cstheme="minorBidi"/>
          <w:color w:val="0000FF"/>
          <w:sz w:val="20"/>
          <w:szCs w:val="20"/>
          <w:u w:val="single"/>
        </w:rPr>
      </w:pPr>
      <w:r>
        <w:rPr>
          <w:rFonts w:ascii="Arial" w:hAnsi="Arial" w:cs="Arial"/>
        </w:rPr>
        <w:fldChar w:fldCharType="end"/>
      </w:r>
      <w:r w:rsidR="001C59CD">
        <w:rPr>
          <w:rStyle w:val="Hyperlink"/>
          <w:rFonts w:ascii="Arial" w:hAnsi="Arial" w:cs="Arial"/>
        </w:rPr>
        <w:fldChar w:fldCharType="begin"/>
      </w:r>
      <w:r w:rsidR="001C59CD">
        <w:rPr>
          <w:rStyle w:val="Hyperlink"/>
          <w:rFonts w:ascii="Arial" w:hAnsi="Arial" w:cs="Arial"/>
        </w:rPr>
        <w:instrText xml:space="preserve"> HYPERLINK \l "_Task_setting" </w:instrText>
      </w:r>
      <w:r w:rsidR="001C59CD">
        <w:rPr>
          <w:rStyle w:val="Hyperlink"/>
          <w:rFonts w:ascii="Arial" w:hAnsi="Arial" w:cs="Arial"/>
        </w:rPr>
        <w:fldChar w:fldCharType="separate"/>
      </w:r>
      <w:r w:rsidR="00655145" w:rsidRPr="00655145">
        <w:rPr>
          <w:rStyle w:val="Hyperlink"/>
          <w:rFonts w:ascii="Arial" w:hAnsi="Arial" w:cs="Arial"/>
        </w:rPr>
        <w:t>Task setting</w:t>
      </w:r>
      <w:r w:rsidR="001C59CD">
        <w:rPr>
          <w:rStyle w:val="Hyperlink"/>
          <w:rFonts w:ascii="Arial" w:hAnsi="Arial" w:cs="Arial"/>
        </w:rPr>
        <w:fldChar w:fldCharType="end"/>
      </w:r>
    </w:p>
    <w:p w14:paraId="55E47CC7" w14:textId="656C70FD" w:rsidR="006062F7" w:rsidRPr="00A82AD1" w:rsidRDefault="00A82AD1" w:rsidP="004C487C">
      <w:pPr>
        <w:pStyle w:val="Style2"/>
        <w:numPr>
          <w:ilvl w:val="0"/>
          <w:numId w:val="1"/>
        </w:numPr>
        <w:spacing w:after="0"/>
        <w:ind w:left="1077"/>
        <w:rPr>
          <w:rStyle w:val="Hyperlink"/>
          <w:rFonts w:ascii="Arial" w:hAnsi="Arial" w:cs="Arial"/>
        </w:rPr>
      </w:pPr>
      <w:r>
        <w:rPr>
          <w:rFonts w:ascii="Arial" w:hAnsi="Arial" w:cs="Arial"/>
        </w:rPr>
        <w:fldChar w:fldCharType="begin"/>
      </w:r>
      <w:r>
        <w:rPr>
          <w:rFonts w:ascii="Arial" w:hAnsi="Arial" w:cs="Arial"/>
        </w:rPr>
        <w:instrText xml:space="preserve"> HYPERLINK  \l "_Task_taking" </w:instrText>
      </w:r>
      <w:r>
        <w:rPr>
          <w:rFonts w:ascii="Arial" w:hAnsi="Arial" w:cs="Arial"/>
        </w:rPr>
        <w:fldChar w:fldCharType="separate"/>
      </w:r>
      <w:r>
        <w:rPr>
          <w:rStyle w:val="Hyperlink"/>
          <w:rFonts w:ascii="Arial" w:hAnsi="Arial" w:cs="Arial"/>
        </w:rPr>
        <w:t xml:space="preserve">Task </w:t>
      </w:r>
      <w:r w:rsidRPr="00A82AD1">
        <w:rPr>
          <w:rStyle w:val="Hyperlink"/>
          <w:rFonts w:ascii="Arial" w:hAnsi="Arial" w:cs="Arial"/>
        </w:rPr>
        <w:t>t</w:t>
      </w:r>
      <w:r>
        <w:rPr>
          <w:rStyle w:val="Hyperlink"/>
          <w:rFonts w:ascii="Arial" w:hAnsi="Arial" w:cs="Arial"/>
        </w:rPr>
        <w:t>ak</w:t>
      </w:r>
      <w:r w:rsidRPr="00A82AD1">
        <w:rPr>
          <w:rStyle w:val="Hyperlink"/>
          <w:rFonts w:ascii="Arial" w:hAnsi="Arial" w:cs="Arial"/>
        </w:rPr>
        <w:t>ing</w:t>
      </w:r>
    </w:p>
    <w:p w14:paraId="3993D0C9" w14:textId="5507D0DB" w:rsidR="006062F7" w:rsidRPr="00A82AD1" w:rsidRDefault="00A82AD1" w:rsidP="00095F9F">
      <w:pPr>
        <w:pStyle w:val="Style2"/>
        <w:numPr>
          <w:ilvl w:val="0"/>
          <w:numId w:val="1"/>
        </w:numPr>
        <w:spacing w:after="0"/>
        <w:ind w:left="1077"/>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"_Task_marking_–" </w:instrText>
      </w:r>
      <w:r>
        <w:rPr>
          <w:rFonts w:ascii="Arial" w:hAnsi="Arial" w:cs="Arial"/>
        </w:rPr>
        <w:fldChar w:fldCharType="separate"/>
      </w:r>
      <w:r>
        <w:rPr>
          <w:rStyle w:val="Hyperlink"/>
          <w:rFonts w:ascii="Arial" w:hAnsi="Arial" w:cs="Arial"/>
        </w:rPr>
        <w:t>Task m</w:t>
      </w:r>
      <w:r w:rsidRPr="00A82AD1">
        <w:rPr>
          <w:rStyle w:val="Hyperlink"/>
          <w:rFonts w:ascii="Arial" w:hAnsi="Arial" w:cs="Arial"/>
        </w:rPr>
        <w:t>a</w:t>
      </w:r>
      <w:r>
        <w:rPr>
          <w:rStyle w:val="Hyperlink"/>
          <w:rFonts w:ascii="Arial" w:hAnsi="Arial" w:cs="Arial"/>
        </w:rPr>
        <w:t>r</w:t>
      </w:r>
      <w:r w:rsidRPr="00A82AD1">
        <w:rPr>
          <w:rStyle w:val="Hyperlink"/>
          <w:rFonts w:ascii="Arial" w:hAnsi="Arial" w:cs="Arial"/>
        </w:rPr>
        <w:t>king – externally assessed components</w:t>
      </w:r>
    </w:p>
    <w:p w14:paraId="76BD7779" w14:textId="5C9A9262" w:rsidR="006062F7" w:rsidRPr="00B00721" w:rsidRDefault="00A82AD1" w:rsidP="00095F9F">
      <w:pPr>
        <w:pStyle w:val="Style2"/>
        <w:numPr>
          <w:ilvl w:val="0"/>
          <w:numId w:val="1"/>
        </w:numPr>
        <w:spacing w:after="0"/>
        <w:ind w:left="1077"/>
        <w:rPr>
          <w:rStyle w:val="Hyperlink"/>
          <w:rFonts w:ascii="Arial" w:hAnsi="Arial" w:cs="Arial"/>
        </w:rPr>
      </w:pPr>
      <w:r>
        <w:rPr>
          <w:rFonts w:ascii="Arial" w:hAnsi="Arial" w:cs="Arial"/>
        </w:rPr>
        <w:fldChar w:fldCharType="end"/>
      </w:r>
      <w:r w:rsidR="00B00721">
        <w:rPr>
          <w:rFonts w:ascii="Arial" w:hAnsi="Arial" w:cs="Arial"/>
        </w:rPr>
        <w:fldChar w:fldCharType="begin"/>
      </w:r>
      <w:r w:rsidR="00B00721">
        <w:rPr>
          <w:rFonts w:ascii="Arial" w:hAnsi="Arial" w:cs="Arial"/>
        </w:rPr>
        <w:instrText xml:space="preserve"> HYPERLINK  \l "_Task_marking_–_1" </w:instrText>
      </w:r>
      <w:r w:rsidR="00B00721">
        <w:rPr>
          <w:rFonts w:ascii="Arial" w:hAnsi="Arial" w:cs="Arial"/>
        </w:rPr>
        <w:fldChar w:fldCharType="separate"/>
      </w:r>
      <w:r w:rsidR="00B00721" w:rsidRPr="00B00721">
        <w:rPr>
          <w:rStyle w:val="Hyperlink"/>
          <w:rFonts w:ascii="Arial" w:hAnsi="Arial" w:cs="Arial"/>
        </w:rPr>
        <w:t>Task marking – internally assessed components</w:t>
      </w:r>
    </w:p>
    <w:p w14:paraId="5D9D4F99" w14:textId="7A577A66" w:rsidR="006062F7" w:rsidRPr="00B00721" w:rsidRDefault="00B00721" w:rsidP="00095F9F">
      <w:pPr>
        <w:pStyle w:val="Style2"/>
        <w:numPr>
          <w:ilvl w:val="0"/>
          <w:numId w:val="1"/>
        </w:numPr>
        <w:spacing w:after="0"/>
        <w:ind w:left="1077"/>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"_Appeals" </w:instrText>
      </w:r>
      <w:r>
        <w:rPr>
          <w:rFonts w:ascii="Arial" w:hAnsi="Arial" w:cs="Arial"/>
        </w:rPr>
        <w:fldChar w:fldCharType="separate"/>
      </w:r>
      <w:r w:rsidRPr="00B00721">
        <w:rPr>
          <w:rStyle w:val="Hyperlink"/>
          <w:rFonts w:ascii="Arial" w:hAnsi="Arial" w:cs="Arial"/>
        </w:rPr>
        <w:t>Appeals</w:t>
      </w:r>
    </w:p>
    <w:p w14:paraId="7703771F" w14:textId="1B3031B3" w:rsidR="006062F7" w:rsidRPr="00B00721" w:rsidRDefault="00B00721" w:rsidP="00095F9F">
      <w:pPr>
        <w:pStyle w:val="Style2"/>
        <w:numPr>
          <w:ilvl w:val="0"/>
          <w:numId w:val="1"/>
        </w:numPr>
        <w:spacing w:after="0"/>
        <w:ind w:left="1077"/>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"_Access_arrangements" </w:instrText>
      </w:r>
      <w:r>
        <w:rPr>
          <w:rFonts w:ascii="Arial" w:hAnsi="Arial" w:cs="Arial"/>
        </w:rPr>
        <w:fldChar w:fldCharType="separate"/>
      </w:r>
      <w:r w:rsidRPr="00B00721">
        <w:rPr>
          <w:rStyle w:val="Hyperlink"/>
          <w:rFonts w:ascii="Arial" w:hAnsi="Arial" w:cs="Arial"/>
        </w:rPr>
        <w:t xml:space="preserve">Access arrangements </w:t>
      </w:r>
    </w:p>
    <w:p w14:paraId="5AFDD898" w14:textId="18E13691" w:rsidR="006062F7" w:rsidRPr="00B00721" w:rsidRDefault="00B00721" w:rsidP="00095F9F">
      <w:pPr>
        <w:pStyle w:val="Style2"/>
        <w:numPr>
          <w:ilvl w:val="0"/>
          <w:numId w:val="1"/>
        </w:numPr>
        <w:spacing w:after="0"/>
        <w:ind w:left="1077"/>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"_Special_consideration" </w:instrText>
      </w:r>
      <w:r>
        <w:rPr>
          <w:rFonts w:ascii="Arial" w:hAnsi="Arial" w:cs="Arial"/>
        </w:rPr>
        <w:fldChar w:fldCharType="separate"/>
      </w:r>
      <w:r w:rsidRPr="00B00721">
        <w:rPr>
          <w:rStyle w:val="Hyperlink"/>
          <w:rFonts w:ascii="Arial" w:hAnsi="Arial" w:cs="Arial"/>
        </w:rPr>
        <w:t>Special consideration</w:t>
      </w:r>
    </w:p>
    <w:p w14:paraId="54CC2E97" w14:textId="3DCF413B" w:rsidR="00B00721" w:rsidRPr="00881DB6" w:rsidRDefault="00B00721" w:rsidP="00881DB6">
      <w:pPr>
        <w:pStyle w:val="Style2"/>
        <w:numPr>
          <w:ilvl w:val="0"/>
          <w:numId w:val="1"/>
        </w:numPr>
        <w:spacing w:after="0"/>
        <w:ind w:left="1077"/>
        <w:rPr>
          <w:rFonts w:ascii="Arial" w:hAnsi="Arial" w:cs="Arial"/>
        </w:rPr>
      </w:pPr>
      <w:r>
        <w:rPr>
          <w:rFonts w:ascii="Arial" w:hAnsi="Arial" w:cs="Arial"/>
        </w:rPr>
        <w:fldChar w:fldCharType="end"/>
      </w:r>
      <w:r w:rsidR="00044B93" w:rsidDel="00044B93">
        <w:rPr>
          <w:rFonts w:ascii="Arial" w:hAnsi="Arial" w:cs="Arial"/>
        </w:rPr>
        <w:t xml:space="preserve"> </w:t>
      </w:r>
      <w:hyperlink w:anchor="_Malpractice" w:history="1">
        <w:r>
          <w:rPr>
            <w:rStyle w:val="Hyperlink"/>
            <w:rFonts w:ascii="Arial" w:hAnsi="Arial" w:cs="Arial"/>
          </w:rPr>
          <w:t>Malpractice</w:t>
        </w:r>
      </w:hyperlink>
      <w:r>
        <w:rPr>
          <w:rStyle w:val="Hyperlink"/>
          <w:rFonts w:ascii="Arial" w:hAnsi="Arial" w:cs="Arial"/>
        </w:rPr>
        <w:t xml:space="preserve"> </w:t>
      </w:r>
      <w:r w:rsidR="00881DB6">
        <w:rPr>
          <w:rStyle w:val="Hyperlink"/>
          <w:rFonts w:ascii="Arial" w:hAnsi="Arial" w:cs="Arial"/>
        </w:rPr>
        <w:t>name</w:t>
      </w:r>
    </w:p>
    <w:p w14:paraId="7899A908" w14:textId="77777777" w:rsidR="00B00721" w:rsidRDefault="001C59CD" w:rsidP="00095F9F">
      <w:pPr>
        <w:pStyle w:val="Style2"/>
        <w:numPr>
          <w:ilvl w:val="0"/>
          <w:numId w:val="1"/>
        </w:numPr>
        <w:spacing w:after="0"/>
        <w:ind w:left="1077" w:hanging="357"/>
        <w:rPr>
          <w:rFonts w:ascii="Arial" w:hAnsi="Arial" w:cs="Arial"/>
        </w:rPr>
      </w:pPr>
      <w:hyperlink w:anchor="_Quality_assurance" w:history="1">
        <w:r w:rsidR="00B00721" w:rsidRPr="00B00721">
          <w:rPr>
            <w:rStyle w:val="Hyperlink"/>
            <w:rFonts w:ascii="Arial" w:hAnsi="Arial" w:cs="Arial"/>
          </w:rPr>
          <w:t>Quality assurance</w:t>
        </w:r>
      </w:hyperlink>
    </w:p>
    <w:p w14:paraId="327D4D93" w14:textId="5FAC0735" w:rsidR="00B00721" w:rsidRPr="00B00721" w:rsidRDefault="001C59CD" w:rsidP="00BB7420">
      <w:pPr>
        <w:pStyle w:val="Style2"/>
        <w:numPr>
          <w:ilvl w:val="0"/>
          <w:numId w:val="1"/>
        </w:numPr>
        <w:rPr>
          <w:rFonts w:ascii="Arial" w:hAnsi="Arial" w:cs="Arial"/>
        </w:rPr>
      </w:pPr>
      <w:hyperlink w:anchor="_Monitor_and_review" w:history="1">
        <w:r w:rsidR="00B00721" w:rsidRPr="00B00721">
          <w:rPr>
            <w:rStyle w:val="Hyperlink"/>
            <w:rFonts w:ascii="Arial" w:hAnsi="Arial" w:cs="Arial"/>
          </w:rPr>
          <w:t>Monitor</w:t>
        </w:r>
        <w:r w:rsidR="00F66852">
          <w:rPr>
            <w:rStyle w:val="Hyperlink"/>
            <w:rFonts w:ascii="Arial" w:hAnsi="Arial" w:cs="Arial"/>
          </w:rPr>
          <w:t>ing</w:t>
        </w:r>
        <w:r w:rsidR="00B00721" w:rsidRPr="00B00721">
          <w:rPr>
            <w:rStyle w:val="Hyperlink"/>
            <w:rFonts w:ascii="Arial" w:hAnsi="Arial" w:cs="Arial"/>
          </w:rPr>
          <w:t xml:space="preserve"> and review</w:t>
        </w:r>
      </w:hyperlink>
      <w:r w:rsidR="00B00721">
        <w:rPr>
          <w:rFonts w:ascii="Arial" w:hAnsi="Arial" w:cs="Arial"/>
        </w:rPr>
        <w:t xml:space="preserve"> </w:t>
      </w:r>
    </w:p>
    <w:p w14:paraId="2043E38E" w14:textId="77777777" w:rsidR="00AD4155" w:rsidRPr="00F165AD" w:rsidRDefault="00AD4155" w:rsidP="00EB5683">
      <w:pPr>
        <w:rPr>
          <w:rFonts w:ascii="Arial" w:hAnsi="Arial" w:cs="Arial"/>
        </w:rPr>
      </w:pPr>
    </w:p>
    <w:p w14:paraId="677D7056" w14:textId="760A9262" w:rsidR="00AD4155" w:rsidRPr="00F165AD" w:rsidRDefault="00AD4155" w:rsidP="00EB5683">
      <w:pPr>
        <w:rPr>
          <w:rFonts w:ascii="Arial" w:hAnsi="Arial" w:cs="Arial"/>
          <w:sz w:val="32"/>
          <w:szCs w:val="32"/>
        </w:rPr>
      </w:pPr>
    </w:p>
    <w:p w14:paraId="524B8475" w14:textId="49D0AD17" w:rsidR="00673E6A" w:rsidRPr="00F165AD" w:rsidRDefault="008C2CD3" w:rsidP="00EB5683">
      <w:pPr>
        <w:rPr>
          <w:rFonts w:ascii="Arial" w:hAnsi="Arial" w:cs="Arial"/>
          <w:sz w:val="32"/>
          <w:szCs w:val="32"/>
        </w:rPr>
      </w:pPr>
      <w:r w:rsidRPr="00F165AD">
        <w:rPr>
          <w:rFonts w:ascii="Arial" w:hAnsi="Arial" w:cs="Arial"/>
          <w:sz w:val="32"/>
          <w:szCs w:val="32"/>
        </w:rPr>
        <w:br w:type="page"/>
      </w:r>
      <w:bookmarkStart w:id="1" w:name="_Statement_of_Intent"/>
      <w:bookmarkEnd w:id="1"/>
    </w:p>
    <w:p w14:paraId="362567F4" w14:textId="3948D183" w:rsidR="00207C5A" w:rsidRPr="00F165AD" w:rsidRDefault="00207C5A" w:rsidP="00EB5683">
      <w:pPr>
        <w:pStyle w:val="Heading10"/>
        <w:numPr>
          <w:ilvl w:val="0"/>
          <w:numId w:val="0"/>
        </w:numPr>
        <w:ind w:left="360" w:hanging="360"/>
        <w:rPr>
          <w:rFonts w:ascii="Arial" w:hAnsi="Arial" w:cs="Arial"/>
          <w:b/>
          <w:sz w:val="28"/>
          <w:szCs w:val="28"/>
        </w:rPr>
      </w:pPr>
      <w:bookmarkStart w:id="2" w:name="_Statement_of_intent_1"/>
      <w:bookmarkEnd w:id="2"/>
      <w:r w:rsidRPr="00F165AD">
        <w:rPr>
          <w:rFonts w:ascii="Arial" w:hAnsi="Arial" w:cs="Arial"/>
          <w:b/>
          <w:sz w:val="28"/>
          <w:szCs w:val="28"/>
        </w:rPr>
        <w:lastRenderedPageBreak/>
        <w:t xml:space="preserve">Statement of </w:t>
      </w:r>
      <w:r w:rsidR="003E5C84">
        <w:rPr>
          <w:rFonts w:ascii="Arial" w:hAnsi="Arial" w:cs="Arial"/>
          <w:b/>
          <w:sz w:val="28"/>
          <w:szCs w:val="28"/>
        </w:rPr>
        <w:t>i</w:t>
      </w:r>
      <w:r w:rsidRPr="00F165AD">
        <w:rPr>
          <w:rFonts w:ascii="Arial" w:hAnsi="Arial" w:cs="Arial"/>
          <w:b/>
          <w:sz w:val="28"/>
          <w:szCs w:val="28"/>
        </w:rPr>
        <w:t>ntent</w:t>
      </w:r>
    </w:p>
    <w:p w14:paraId="30DD8CF5" w14:textId="3446217B" w:rsidR="00E62D51" w:rsidRDefault="00E62D51" w:rsidP="00F47112">
      <w:pPr>
        <w:jc w:val="both"/>
        <w:rPr>
          <w:rFonts w:cstheme="minorHAnsi"/>
        </w:rPr>
      </w:pPr>
      <w:r w:rsidRPr="003669D1">
        <w:rPr>
          <w:rFonts w:cstheme="minorHAnsi"/>
        </w:rPr>
        <w:t>It is the responsibil</w:t>
      </w:r>
      <w:r w:rsidR="00B00721">
        <w:rPr>
          <w:rFonts w:cstheme="minorHAnsi"/>
        </w:rPr>
        <w:t>ity of everyone involved in</w:t>
      </w:r>
      <w:r>
        <w:rPr>
          <w:rFonts w:cstheme="minorHAnsi"/>
        </w:rPr>
        <w:t xml:space="preserve"> </w:t>
      </w:r>
      <w:r w:rsidR="00881DB6" w:rsidRPr="00881DB6">
        <w:rPr>
          <w:rFonts w:cstheme="minorHAnsi"/>
        </w:rPr>
        <w:t>Tor School</w:t>
      </w:r>
      <w:r w:rsidR="00B00721" w:rsidRPr="00095F9F">
        <w:rPr>
          <w:rFonts w:cstheme="minorHAnsi"/>
        </w:rPr>
        <w:t>’s</w:t>
      </w:r>
      <w:r>
        <w:rPr>
          <w:rFonts w:cstheme="minorHAnsi"/>
        </w:rPr>
        <w:t xml:space="preserve"> </w:t>
      </w:r>
      <w:r w:rsidR="00DF7DFC">
        <w:rPr>
          <w:rFonts w:cstheme="minorHAnsi"/>
        </w:rPr>
        <w:t>non-</w:t>
      </w:r>
      <w:r w:rsidRPr="003669D1">
        <w:rPr>
          <w:rFonts w:cstheme="minorHAnsi"/>
        </w:rPr>
        <w:t>exam</w:t>
      </w:r>
      <w:r w:rsidR="00DF7DFC">
        <w:rPr>
          <w:rFonts w:cstheme="minorHAnsi"/>
        </w:rPr>
        <w:t>ination assessment</w:t>
      </w:r>
      <w:r w:rsidRPr="003669D1">
        <w:rPr>
          <w:rFonts w:cstheme="minorHAnsi"/>
        </w:rPr>
        <w:t xml:space="preserve"> process to read, understand and implement this policy.</w:t>
      </w:r>
    </w:p>
    <w:p w14:paraId="5EB81FFE" w14:textId="5C37E980" w:rsidR="00DF7DFC" w:rsidRPr="00DF7DFC" w:rsidRDefault="00DF7DFC" w:rsidP="00F47112">
      <w:pPr>
        <w:jc w:val="both"/>
        <w:rPr>
          <w:rFonts w:cstheme="minorHAnsi"/>
        </w:rPr>
      </w:pPr>
      <w:r>
        <w:rPr>
          <w:rFonts w:cstheme="minorHAnsi"/>
        </w:rPr>
        <w:t>The Non-Examination Assessment P</w:t>
      </w:r>
      <w:r w:rsidRPr="003669D1">
        <w:rPr>
          <w:rFonts w:cstheme="minorHAnsi"/>
        </w:rPr>
        <w:t xml:space="preserve">olicy </w:t>
      </w:r>
      <w:proofErr w:type="gramStart"/>
      <w:r w:rsidRPr="003669D1">
        <w:rPr>
          <w:rFonts w:cstheme="minorHAnsi"/>
        </w:rPr>
        <w:t>will be reviewed</w:t>
      </w:r>
      <w:proofErr w:type="gramEnd"/>
      <w:r w:rsidRPr="003669D1">
        <w:rPr>
          <w:rFonts w:cstheme="minorHAnsi"/>
        </w:rPr>
        <w:t xml:space="preserve"> every </w:t>
      </w:r>
      <w:r w:rsidRPr="00881DB6">
        <w:rPr>
          <w:rFonts w:cstheme="minorHAnsi"/>
        </w:rPr>
        <w:t xml:space="preserve">two years </w:t>
      </w:r>
      <w:r w:rsidRPr="003669D1">
        <w:rPr>
          <w:rFonts w:cstheme="minorHAnsi"/>
        </w:rPr>
        <w:t xml:space="preserve">by the </w:t>
      </w:r>
      <w:proofErr w:type="spellStart"/>
      <w:r w:rsidRPr="00881DB6">
        <w:rPr>
          <w:rFonts w:cstheme="minorHAnsi"/>
        </w:rPr>
        <w:t>headteacher</w:t>
      </w:r>
      <w:proofErr w:type="spellEnd"/>
      <w:r w:rsidRPr="003669D1">
        <w:rPr>
          <w:rFonts w:cstheme="minorHAnsi"/>
        </w:rPr>
        <w:t xml:space="preserve">, </w:t>
      </w:r>
      <w:r w:rsidRPr="00881DB6">
        <w:rPr>
          <w:rFonts w:cstheme="minorHAnsi"/>
        </w:rPr>
        <w:t>senior leadership team (SLT)</w:t>
      </w:r>
      <w:r w:rsidRPr="00095F9F">
        <w:rPr>
          <w:rFonts w:cstheme="minorHAnsi"/>
        </w:rPr>
        <w:t xml:space="preserve">. </w:t>
      </w:r>
    </w:p>
    <w:p w14:paraId="2B51B11E" w14:textId="0A7E38A6" w:rsidR="002828E2" w:rsidRPr="00881DB6" w:rsidRDefault="00881DB6" w:rsidP="00F47112">
      <w:pPr>
        <w:jc w:val="both"/>
        <w:rPr>
          <w:rFonts w:cstheme="minorHAnsi"/>
        </w:rPr>
      </w:pPr>
      <w:r w:rsidRPr="00881DB6">
        <w:rPr>
          <w:rFonts w:cstheme="minorHAnsi"/>
        </w:rPr>
        <w:t>Tor School</w:t>
      </w:r>
      <w:r w:rsidR="003E5C84" w:rsidRPr="00881DB6">
        <w:rPr>
          <w:rFonts w:cstheme="minorHAnsi"/>
        </w:rPr>
        <w:t>:</w:t>
      </w:r>
    </w:p>
    <w:p w14:paraId="78048F68" w14:textId="3BBC82DF" w:rsidR="002724C1" w:rsidRDefault="00DF7DFC" w:rsidP="001C59CD">
      <w:pPr>
        <w:pStyle w:val="ListParagraph"/>
        <w:numPr>
          <w:ilvl w:val="0"/>
          <w:numId w:val="8"/>
        </w:numPr>
        <w:jc w:val="both"/>
        <w:rPr>
          <w:rFonts w:ascii="Arial" w:hAnsi="Arial" w:cs="Arial"/>
        </w:rPr>
      </w:pPr>
      <w:r>
        <w:rPr>
          <w:rFonts w:ascii="Arial" w:hAnsi="Arial" w:cs="Arial"/>
        </w:rPr>
        <w:t xml:space="preserve">Is committed to ensuring that internal </w:t>
      </w:r>
      <w:r w:rsidR="00515E94">
        <w:rPr>
          <w:rFonts w:ascii="Arial" w:hAnsi="Arial" w:cs="Arial"/>
        </w:rPr>
        <w:t xml:space="preserve">non-examination </w:t>
      </w:r>
      <w:r>
        <w:rPr>
          <w:rFonts w:ascii="Arial" w:hAnsi="Arial" w:cs="Arial"/>
        </w:rPr>
        <w:t xml:space="preserve">assessments </w:t>
      </w:r>
      <w:proofErr w:type="gramStart"/>
      <w:r>
        <w:rPr>
          <w:rFonts w:ascii="Arial" w:hAnsi="Arial" w:cs="Arial"/>
        </w:rPr>
        <w:t>are conducted</w:t>
      </w:r>
      <w:proofErr w:type="gramEnd"/>
      <w:r>
        <w:rPr>
          <w:rFonts w:ascii="Arial" w:hAnsi="Arial" w:cs="Arial"/>
        </w:rPr>
        <w:t xml:space="preserve"> by members of </w:t>
      </w:r>
      <w:r w:rsidR="00C804B5">
        <w:rPr>
          <w:rFonts w:ascii="Arial" w:hAnsi="Arial" w:cs="Arial"/>
        </w:rPr>
        <w:t>teaching staff</w:t>
      </w:r>
      <w:r>
        <w:rPr>
          <w:rFonts w:ascii="Arial" w:hAnsi="Arial" w:cs="Arial"/>
        </w:rPr>
        <w:t xml:space="preserve"> who have the appropriate knowledge, skills and understanding. </w:t>
      </w:r>
    </w:p>
    <w:p w14:paraId="5F4BD442" w14:textId="1ABC1396" w:rsidR="00DF7DFC" w:rsidRPr="003669D1" w:rsidRDefault="00DF7DFC" w:rsidP="001C59CD">
      <w:pPr>
        <w:pStyle w:val="ListParagraph"/>
        <w:numPr>
          <w:ilvl w:val="0"/>
          <w:numId w:val="8"/>
        </w:numPr>
        <w:jc w:val="both"/>
        <w:rPr>
          <w:rFonts w:cstheme="minorHAnsi"/>
        </w:rPr>
      </w:pPr>
      <w:r>
        <w:rPr>
          <w:rFonts w:cstheme="minorHAnsi"/>
        </w:rPr>
        <w:t xml:space="preserve">Will ensure </w:t>
      </w:r>
      <w:r w:rsidR="00515E94">
        <w:rPr>
          <w:rFonts w:cstheme="minorHAnsi"/>
        </w:rPr>
        <w:t xml:space="preserve">non-examination </w:t>
      </w:r>
      <w:r>
        <w:rPr>
          <w:rFonts w:cstheme="minorHAnsi"/>
        </w:rPr>
        <w:t>a</w:t>
      </w:r>
      <w:r w:rsidRPr="003669D1">
        <w:rPr>
          <w:rFonts w:cstheme="minorHAnsi"/>
        </w:rPr>
        <w:t xml:space="preserve">ssessment evidence provided by the candidates </w:t>
      </w:r>
      <w:proofErr w:type="gramStart"/>
      <w:r w:rsidRPr="003669D1">
        <w:rPr>
          <w:rFonts w:cstheme="minorHAnsi"/>
        </w:rPr>
        <w:t>is produced and authenticated according to the requirements of the awarding body for the subject concerned</w:t>
      </w:r>
      <w:proofErr w:type="gramEnd"/>
      <w:r w:rsidRPr="003669D1">
        <w:rPr>
          <w:rFonts w:cstheme="minorHAnsi"/>
        </w:rPr>
        <w:t>.</w:t>
      </w:r>
    </w:p>
    <w:p w14:paraId="7B1AE2A2" w14:textId="17396F97" w:rsidR="00DF7DFC" w:rsidRPr="003669D1" w:rsidRDefault="00DF7DFC" w:rsidP="001C59CD">
      <w:pPr>
        <w:pStyle w:val="ListParagraph"/>
        <w:numPr>
          <w:ilvl w:val="0"/>
          <w:numId w:val="8"/>
        </w:numPr>
        <w:jc w:val="both"/>
        <w:rPr>
          <w:rFonts w:cstheme="minorHAnsi"/>
        </w:rPr>
      </w:pPr>
      <w:r>
        <w:rPr>
          <w:rFonts w:cstheme="minorHAnsi"/>
        </w:rPr>
        <w:t>Will ensure t</w:t>
      </w:r>
      <w:r w:rsidRPr="003669D1">
        <w:rPr>
          <w:rFonts w:cstheme="minorHAnsi"/>
        </w:rPr>
        <w:t xml:space="preserve">he consistency of internal assessment </w:t>
      </w:r>
      <w:proofErr w:type="gramStart"/>
      <w:r w:rsidRPr="003669D1">
        <w:rPr>
          <w:rFonts w:cstheme="minorHAnsi"/>
        </w:rPr>
        <w:t>will be maintained</w:t>
      </w:r>
      <w:proofErr w:type="gramEnd"/>
      <w:r w:rsidRPr="003669D1">
        <w:rPr>
          <w:rFonts w:cstheme="minorHAnsi"/>
        </w:rPr>
        <w:t xml:space="preserve"> by internal moderation and standardisation.</w:t>
      </w:r>
    </w:p>
    <w:p w14:paraId="517547F4" w14:textId="53D46D2F" w:rsidR="00DF7DFC" w:rsidRDefault="00DF7DFC" w:rsidP="001C59CD">
      <w:pPr>
        <w:pStyle w:val="ListParagraph"/>
        <w:numPr>
          <w:ilvl w:val="0"/>
          <w:numId w:val="8"/>
        </w:numPr>
        <w:jc w:val="both"/>
        <w:rPr>
          <w:rFonts w:cstheme="minorHAnsi"/>
        </w:rPr>
      </w:pPr>
      <w:r>
        <w:rPr>
          <w:rFonts w:cstheme="minorHAnsi"/>
        </w:rPr>
        <w:t>Ensures a</w:t>
      </w:r>
      <w:r w:rsidRPr="003669D1">
        <w:rPr>
          <w:rFonts w:cstheme="minorHAnsi"/>
        </w:rPr>
        <w:t xml:space="preserve">ll </w:t>
      </w:r>
      <w:r>
        <w:rPr>
          <w:rFonts w:cstheme="minorHAnsi"/>
        </w:rPr>
        <w:t>pupil</w:t>
      </w:r>
      <w:r w:rsidRPr="003669D1">
        <w:rPr>
          <w:rFonts w:cstheme="minorHAnsi"/>
        </w:rPr>
        <w:t xml:space="preserve"> work </w:t>
      </w:r>
      <w:proofErr w:type="gramStart"/>
      <w:r w:rsidRPr="003669D1">
        <w:rPr>
          <w:rFonts w:cstheme="minorHAnsi"/>
        </w:rPr>
        <w:t>being assessed</w:t>
      </w:r>
      <w:proofErr w:type="gramEnd"/>
      <w:r w:rsidRPr="003669D1">
        <w:rPr>
          <w:rFonts w:cstheme="minorHAnsi"/>
        </w:rPr>
        <w:t xml:space="preserve"> by teaching </w:t>
      </w:r>
      <w:r w:rsidR="00C804B5">
        <w:rPr>
          <w:rFonts w:cstheme="minorHAnsi"/>
        </w:rPr>
        <w:t>staff</w:t>
      </w:r>
      <w:r w:rsidRPr="003669D1">
        <w:rPr>
          <w:rFonts w:cstheme="minorHAnsi"/>
        </w:rPr>
        <w:t xml:space="preserve"> for external qualifications is carried out fairly, consistently and in accordance with the rules and regulations of the specification relating to the qualification.</w:t>
      </w:r>
    </w:p>
    <w:p w14:paraId="1F26C286" w14:textId="027FEEC6" w:rsidR="00DF7DFC" w:rsidRPr="00DF7DFC" w:rsidRDefault="00850393" w:rsidP="00F47112">
      <w:pPr>
        <w:jc w:val="both"/>
        <w:rPr>
          <w:rFonts w:cstheme="minorHAnsi"/>
        </w:rPr>
      </w:pPr>
      <w:r>
        <w:rPr>
          <w:rFonts w:cstheme="minorHAnsi"/>
        </w:rPr>
        <w:t xml:space="preserve">The purpose of this policy is to provide information and ensure understanding of the functionality of a non-examination assessment </w:t>
      </w:r>
      <w:r w:rsidR="00515E94">
        <w:rPr>
          <w:rFonts w:cstheme="minorHAnsi"/>
        </w:rPr>
        <w:t xml:space="preserve">in </w:t>
      </w:r>
      <w:r w:rsidR="00226E4A">
        <w:rPr>
          <w:rFonts w:cstheme="minorHAnsi"/>
        </w:rPr>
        <w:t>school</w:t>
      </w:r>
      <w:r>
        <w:rPr>
          <w:rFonts w:cstheme="minorHAnsi"/>
        </w:rPr>
        <w:t xml:space="preserve">. </w:t>
      </w:r>
    </w:p>
    <w:p w14:paraId="76F2E518" w14:textId="77777777" w:rsidR="00DF7DFC" w:rsidRPr="00DF7DFC" w:rsidRDefault="00DF7DFC" w:rsidP="00EB5683">
      <w:pPr>
        <w:pStyle w:val="ListParagraph"/>
        <w:rPr>
          <w:rFonts w:ascii="Arial" w:hAnsi="Arial" w:cs="Arial"/>
        </w:rPr>
      </w:pPr>
    </w:p>
    <w:p w14:paraId="61FE7BDF" w14:textId="4A55F69E" w:rsidR="002724C1" w:rsidRDefault="002724C1" w:rsidP="00EB5683">
      <w:pPr>
        <w:rPr>
          <w:rFonts w:ascii="Arial" w:hAnsi="Arial" w:cs="Arial"/>
        </w:rPr>
      </w:pPr>
    </w:p>
    <w:p w14:paraId="74DDF5A2" w14:textId="02253148" w:rsidR="00850393" w:rsidRDefault="00850393" w:rsidP="00EB5683">
      <w:pPr>
        <w:rPr>
          <w:rFonts w:ascii="Arial" w:hAnsi="Arial" w:cs="Arial"/>
        </w:rPr>
      </w:pPr>
    </w:p>
    <w:p w14:paraId="7AE2F3D9" w14:textId="77777777" w:rsidR="003E5C84" w:rsidRDefault="003E5C84" w:rsidP="00EB5683">
      <w:pPr>
        <w:rPr>
          <w:rFonts w:ascii="Arial" w:hAnsi="Arial" w:cs="Arial"/>
        </w:rPr>
      </w:pPr>
    </w:p>
    <w:p w14:paraId="6FB1C3DD" w14:textId="77777777" w:rsidR="003E5C84" w:rsidRDefault="003E5C84" w:rsidP="00EB5683">
      <w:pPr>
        <w:rPr>
          <w:rFonts w:ascii="Arial" w:hAnsi="Arial" w:cs="Arial"/>
        </w:rPr>
      </w:pPr>
    </w:p>
    <w:p w14:paraId="11B3F531" w14:textId="77777777" w:rsidR="003E5C84" w:rsidRDefault="003E5C84" w:rsidP="00EB5683">
      <w:pPr>
        <w:rPr>
          <w:rFonts w:ascii="Arial" w:hAnsi="Arial" w:cs="Arial"/>
        </w:rPr>
      </w:pPr>
    </w:p>
    <w:p w14:paraId="3FD20EAD" w14:textId="77777777" w:rsidR="002724C1" w:rsidRDefault="002724C1" w:rsidP="00EB5683">
      <w:pPr>
        <w:rPr>
          <w:rFonts w:ascii="Arial" w:hAnsi="Arial" w:cs="Arial"/>
        </w:rPr>
      </w:pPr>
    </w:p>
    <w:p w14:paraId="5996D81F" w14:textId="77777777" w:rsidR="00207C5A" w:rsidRPr="00F165AD" w:rsidRDefault="00207C5A" w:rsidP="00EB5683">
      <w:pPr>
        <w:rPr>
          <w:rFonts w:ascii="Arial" w:hAnsi="Arial" w:cs="Arial"/>
        </w:rPr>
      </w:pPr>
    </w:p>
    <w:p w14:paraId="0AEDF78E" w14:textId="77777777" w:rsidR="00207C5A" w:rsidRPr="00F165AD" w:rsidRDefault="00207C5A" w:rsidP="00EB5683">
      <w:pPr>
        <w:rPr>
          <w:rFonts w:ascii="Arial" w:hAnsi="Arial" w:cs="Arial"/>
        </w:rPr>
      </w:pPr>
      <w:r w:rsidRPr="00F165AD">
        <w:rPr>
          <w:rFonts w:ascii="Arial" w:hAnsi="Arial" w:cs="Arial"/>
        </w:rPr>
        <w:t>Signed by</w:t>
      </w:r>
      <w:r w:rsidR="006E2A7A">
        <w:rPr>
          <w:rFonts w:ascii="Arial" w:hAnsi="Arial" w:cs="Arial"/>
        </w:rPr>
        <w:t>:</w:t>
      </w:r>
    </w:p>
    <w:p w14:paraId="663EB157" w14:textId="77777777" w:rsidR="00207C5A" w:rsidRPr="00F165AD" w:rsidRDefault="006E2A7A" w:rsidP="00EB5683">
      <w:pPr>
        <w:rPr>
          <w:rFonts w:ascii="Arial" w:hAnsi="Arial" w:cs="Arial"/>
        </w:rPr>
      </w:pPr>
      <w:r w:rsidRPr="006E2A7A">
        <w:rPr>
          <w:rFonts w:ascii="Arial" w:hAnsi="Arial" w:cs="Arial"/>
          <w:noProof/>
          <w:lang w:eastAsia="en-GB"/>
        </w:rPr>
        <mc:AlternateContent>
          <mc:Choice Requires="wps">
            <w:drawing>
              <wp:anchor distT="0" distB="0" distL="114300" distR="114300" simplePos="0" relativeHeight="251660288" behindDoc="0" locked="0" layoutInCell="1" allowOverlap="1" wp14:anchorId="17C0E784" wp14:editId="26DA0799">
                <wp:simplePos x="0" y="0"/>
                <wp:positionH relativeFrom="column">
                  <wp:posOffset>4239895</wp:posOffset>
                </wp:positionH>
                <wp:positionV relativeFrom="paragraph">
                  <wp:posOffset>167478</wp:posOffset>
                </wp:positionV>
                <wp:extent cx="15608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57157EE" id="Straight Connector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85pt,13.2pt" to="456.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oBtQEAALcDAAAOAAAAZHJzL2Uyb0RvYy54bWysU8GOEzEMvSPxD1HudKaLqF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" strokecolor="black [3040]"/>
            </w:pict>
          </mc:Fallback>
        </mc:AlternateContent>
      </w:r>
      <w:r w:rsidR="00E228D7" w:rsidRPr="006E2A7A">
        <w:rPr>
          <w:rFonts w:ascii="Arial" w:hAnsi="Arial" w:cs="Arial"/>
          <w:noProof/>
          <w:lang w:eastAsia="en-GB"/>
        </w:rPr>
        <mc:AlternateContent>
          <mc:Choice Requires="wps">
            <w:drawing>
              <wp:anchor distT="0" distB="0" distL="114300" distR="114300" simplePos="0" relativeHeight="251659264" behindDoc="0" locked="0" layoutInCell="1" allowOverlap="1" wp14:anchorId="33BBE9A8" wp14:editId="15624AA2">
                <wp:simplePos x="0" y="0"/>
                <wp:positionH relativeFrom="column">
                  <wp:posOffset>-28088</wp:posOffset>
                </wp:positionH>
                <wp:positionV relativeFrom="paragraph">
                  <wp:posOffset>154305</wp:posOffset>
                </wp:positionV>
                <wp:extent cx="15608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7306DE3"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12.15pt" to="12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DtQEAALcDAAAOAAAAZHJzL2Uyb0RvYy54bWysU8GOEzEMvSPxD1HudKbLslq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" strokecolor="black [3040]"/>
            </w:pict>
          </mc:Fallback>
        </mc:AlternateContent>
      </w:r>
      <w:r w:rsidR="00207C5A" w:rsidRPr="006E2A7A">
        <w:rPr>
          <w:rFonts w:ascii="Arial" w:hAnsi="Arial" w:cs="Arial"/>
        </w:rPr>
        <w:t xml:space="preserve">                                        </w:t>
      </w:r>
      <w:proofErr w:type="spellStart"/>
      <w:r w:rsidR="005D391F" w:rsidRPr="0061771B">
        <w:rPr>
          <w:rFonts w:ascii="Arial" w:hAnsi="Arial" w:cs="Arial"/>
        </w:rPr>
        <w:t>Headteacher</w:t>
      </w:r>
      <w:proofErr w:type="spellEnd"/>
      <w:r w:rsidR="00207C5A" w:rsidRPr="0061771B">
        <w:rPr>
          <w:rFonts w:ascii="Arial" w:hAnsi="Arial" w:cs="Arial"/>
        </w:rPr>
        <w:t xml:space="preserve">      </w:t>
      </w:r>
      <w:r w:rsidR="00207C5A" w:rsidRPr="00F165AD">
        <w:rPr>
          <w:rFonts w:ascii="Arial" w:hAnsi="Arial" w:cs="Arial"/>
        </w:rPr>
        <w:t xml:space="preserve">   </w:t>
      </w:r>
      <w:r w:rsidR="00E228D7" w:rsidRPr="00F165AD">
        <w:rPr>
          <w:rFonts w:ascii="Arial" w:hAnsi="Arial" w:cs="Arial"/>
        </w:rPr>
        <w:t xml:space="preserve">                             </w:t>
      </w:r>
      <w:r w:rsidR="00207C5A" w:rsidRPr="00F165AD">
        <w:rPr>
          <w:rFonts w:ascii="Arial" w:hAnsi="Arial" w:cs="Arial"/>
        </w:rPr>
        <w:t xml:space="preserve">Date: </w:t>
      </w:r>
    </w:p>
    <w:p w14:paraId="0E263DA3" w14:textId="77777777" w:rsidR="00207C5A" w:rsidRPr="00F165AD" w:rsidRDefault="006E2A7A" w:rsidP="00EB5683">
      <w:pPr>
        <w:rPr>
          <w:rFonts w:ascii="Arial" w:hAnsi="Arial" w:cs="Arial"/>
        </w:rPr>
      </w:pPr>
      <w:r w:rsidRPr="00F165AD">
        <w:rPr>
          <w:rFonts w:ascii="Arial" w:hAnsi="Arial" w:cs="Arial"/>
          <w:noProof/>
          <w:lang w:eastAsia="en-GB"/>
        </w:rPr>
        <mc:AlternateContent>
          <mc:Choice Requires="wps">
            <w:drawing>
              <wp:anchor distT="0" distB="0" distL="114300" distR="114300" simplePos="0" relativeHeight="251662336" behindDoc="0" locked="0" layoutInCell="1" allowOverlap="1" wp14:anchorId="4DC4B7EF" wp14:editId="76D5D85A">
                <wp:simplePos x="0" y="0"/>
                <wp:positionH relativeFrom="column">
                  <wp:posOffset>4244340</wp:posOffset>
                </wp:positionH>
                <wp:positionV relativeFrom="paragraph">
                  <wp:posOffset>159858</wp:posOffset>
                </wp:positionV>
                <wp:extent cx="156083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3B8B48A" id="Straight Connector 8"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2pt,12.6pt" to="457.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8PtAEAALcDAAAOAAAAZHJzL2Uyb0RvYy54bWysU8GOEzEMvSPxD1HudKaLWFW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" strokecolor="black [3040]"/>
            </w:pict>
          </mc:Fallback>
        </mc:AlternateContent>
      </w:r>
      <w:r w:rsidR="00207C5A" w:rsidRPr="00F165AD">
        <w:rPr>
          <w:rFonts w:ascii="Arial" w:hAnsi="Arial" w:cs="Arial"/>
          <w:noProof/>
          <w:lang w:eastAsia="en-GB"/>
        </w:rPr>
        <mc:AlternateContent>
          <mc:Choice Requires="wps">
            <w:drawing>
              <wp:anchor distT="0" distB="0" distL="114300" distR="114300" simplePos="0" relativeHeight="251661312" behindDoc="0" locked="0" layoutInCell="1" allowOverlap="1" wp14:anchorId="07E3E4D7" wp14:editId="04D9FB0C">
                <wp:simplePos x="0" y="0"/>
                <wp:positionH relativeFrom="column">
                  <wp:posOffset>-27940</wp:posOffset>
                </wp:positionH>
                <wp:positionV relativeFrom="paragraph">
                  <wp:posOffset>119439</wp:posOffset>
                </wp:positionV>
                <wp:extent cx="156083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82D3D7B" id="Straight Connector 7"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9.4pt" to="120.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" strokecolor="black [3040]"/>
            </w:pict>
          </mc:Fallback>
        </mc:AlternateContent>
      </w:r>
      <w:r w:rsidR="00207C5A" w:rsidRPr="00F165AD">
        <w:rPr>
          <w:rFonts w:ascii="Arial" w:hAnsi="Arial" w:cs="Arial"/>
        </w:rPr>
        <w:t xml:space="preserve">                                        Chair of </w:t>
      </w:r>
      <w:r>
        <w:rPr>
          <w:rFonts w:ascii="Arial" w:hAnsi="Arial" w:cs="Arial"/>
        </w:rPr>
        <w:t>g</w:t>
      </w:r>
      <w:r w:rsidR="00207C5A" w:rsidRPr="00F165AD">
        <w:rPr>
          <w:rFonts w:ascii="Arial" w:hAnsi="Arial" w:cs="Arial"/>
        </w:rPr>
        <w:t>overnors                              Date:</w:t>
      </w:r>
    </w:p>
    <w:p w14:paraId="6C174052" w14:textId="77777777" w:rsidR="00135B56" w:rsidRPr="00F165AD" w:rsidRDefault="00135B56" w:rsidP="00EB5683">
      <w:pPr>
        <w:rPr>
          <w:rFonts w:ascii="Arial" w:hAnsi="Arial" w:cs="Arial"/>
          <w:b/>
          <w:sz w:val="28"/>
          <w:szCs w:val="28"/>
        </w:rPr>
      </w:pPr>
      <w:bookmarkStart w:id="3" w:name="_Context"/>
      <w:bookmarkStart w:id="4" w:name="_Prevention_of_Cyber"/>
      <w:bookmarkStart w:id="5" w:name="_Responsibilities"/>
      <w:bookmarkStart w:id="6" w:name="_Responsibilities_for_the"/>
      <w:bookmarkStart w:id="7" w:name="_Responsibilities_for_safety"/>
      <w:bookmarkStart w:id="8" w:name="_Key_roles_and"/>
      <w:bookmarkEnd w:id="3"/>
      <w:bookmarkEnd w:id="4"/>
      <w:bookmarkEnd w:id="5"/>
      <w:bookmarkEnd w:id="6"/>
      <w:bookmarkEnd w:id="7"/>
      <w:bookmarkEnd w:id="8"/>
    </w:p>
    <w:p w14:paraId="530B8D23" w14:textId="77777777" w:rsidR="00135B56" w:rsidRPr="00F165AD" w:rsidRDefault="00135B56" w:rsidP="00EB5683">
      <w:pPr>
        <w:rPr>
          <w:rFonts w:ascii="Arial" w:hAnsi="Arial" w:cs="Arial"/>
        </w:rPr>
      </w:pPr>
      <w:r w:rsidRPr="00F165AD">
        <w:rPr>
          <w:rFonts w:ascii="Arial" w:hAnsi="Arial" w:cs="Arial"/>
          <w:noProof/>
          <w:lang w:eastAsia="en-GB"/>
        </w:rPr>
        <mc:AlternateContent>
          <mc:Choice Requires="wps">
            <w:drawing>
              <wp:anchor distT="0" distB="0" distL="114300" distR="114300" simplePos="0" relativeHeight="251663360" behindDoc="0" locked="0" layoutInCell="1" allowOverlap="1" wp14:anchorId="326D6ABE" wp14:editId="3980A2B3">
                <wp:simplePos x="0" y="0"/>
                <wp:positionH relativeFrom="column">
                  <wp:posOffset>846455</wp:posOffset>
                </wp:positionH>
                <wp:positionV relativeFrom="paragraph">
                  <wp:posOffset>172588</wp:posOffset>
                </wp:positionV>
                <wp:extent cx="1560830"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1C17D15" id="Straight Connector 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65pt,13.6pt" to="189.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" strokecolor="black [3040]"/>
            </w:pict>
          </mc:Fallback>
        </mc:AlternateContent>
      </w:r>
      <w:r w:rsidRPr="00F165AD">
        <w:rPr>
          <w:rFonts w:ascii="Arial" w:hAnsi="Arial" w:cs="Arial"/>
        </w:rPr>
        <w:t xml:space="preserve"> Review date: </w:t>
      </w:r>
    </w:p>
    <w:p w14:paraId="65C4D720" w14:textId="06519C95" w:rsidR="00971725" w:rsidRPr="00F165AD" w:rsidRDefault="00971725" w:rsidP="00EB5683">
      <w:pPr>
        <w:rPr>
          <w:rFonts w:ascii="Arial" w:hAnsi="Arial" w:cs="Arial"/>
        </w:rPr>
      </w:pPr>
    </w:p>
    <w:p w14:paraId="165AEFF9" w14:textId="51FF2DCD" w:rsidR="005B4515" w:rsidRPr="007B7475" w:rsidRDefault="00850393" w:rsidP="00F47112">
      <w:pPr>
        <w:pStyle w:val="Heading10"/>
        <w:jc w:val="both"/>
        <w:rPr>
          <w:b/>
          <w:sz w:val="28"/>
        </w:rPr>
      </w:pPr>
      <w:bookmarkStart w:id="9" w:name="_Background"/>
      <w:bookmarkStart w:id="10" w:name="c"/>
      <w:bookmarkEnd w:id="9"/>
      <w:r>
        <w:rPr>
          <w:b/>
          <w:sz w:val="28"/>
        </w:rPr>
        <w:lastRenderedPageBreak/>
        <w:t>Legal framework</w:t>
      </w:r>
    </w:p>
    <w:bookmarkEnd w:id="10"/>
    <w:p w14:paraId="39B4CEC4" w14:textId="5E1430B9" w:rsidR="009229DA" w:rsidRDefault="00D3592E" w:rsidP="00095F9F">
      <w:pPr>
        <w:pStyle w:val="Style2"/>
        <w:ind w:left="851"/>
        <w:jc w:val="both"/>
      </w:pPr>
      <w:r>
        <w:t xml:space="preserve">This </w:t>
      </w:r>
      <w:r w:rsidRPr="007B7475">
        <w:t>policy</w:t>
      </w:r>
      <w:r>
        <w:t xml:space="preserve"> has been crea</w:t>
      </w:r>
      <w:r w:rsidR="005708DC">
        <w:t>ted with regard to</w:t>
      </w:r>
      <w:r>
        <w:t xml:space="preserve"> the </w:t>
      </w:r>
      <w:r w:rsidR="00850393">
        <w:t>following guidance</w:t>
      </w:r>
      <w:r w:rsidR="009229DA">
        <w:t>:</w:t>
      </w:r>
    </w:p>
    <w:p w14:paraId="4A0EF6E9" w14:textId="77777777" w:rsidR="00317ACE" w:rsidRDefault="00763114" w:rsidP="001C59CD">
      <w:pPr>
        <w:pStyle w:val="Style2"/>
        <w:numPr>
          <w:ilvl w:val="0"/>
          <w:numId w:val="7"/>
        </w:numPr>
        <w:spacing w:after="120"/>
        <w:ind w:left="1984" w:hanging="425"/>
        <w:contextualSpacing/>
        <w:jc w:val="both"/>
        <w:rPr>
          <w:rFonts w:ascii="Arial" w:hAnsi="Arial" w:cs="Arial"/>
        </w:rPr>
      </w:pPr>
      <w:r>
        <w:rPr>
          <w:rFonts w:ascii="Arial" w:hAnsi="Arial" w:cs="Arial"/>
        </w:rPr>
        <w:t>Joint Council for Qualifications (</w:t>
      </w:r>
      <w:r w:rsidR="00200B60">
        <w:rPr>
          <w:rFonts w:ascii="Arial" w:hAnsi="Arial" w:cs="Arial"/>
        </w:rPr>
        <w:t>JCQ</w:t>
      </w:r>
      <w:r>
        <w:rPr>
          <w:rFonts w:ascii="Arial" w:hAnsi="Arial" w:cs="Arial"/>
        </w:rPr>
        <w:t xml:space="preserve">) (2017) </w:t>
      </w:r>
      <w:r w:rsidR="005708DC">
        <w:rPr>
          <w:rFonts w:ascii="Arial" w:hAnsi="Arial" w:cs="Arial"/>
        </w:rPr>
        <w:t>‘</w:t>
      </w:r>
      <w:r w:rsidR="00850393" w:rsidRPr="00850393">
        <w:rPr>
          <w:rFonts w:ascii="Arial" w:hAnsi="Arial" w:cs="Arial"/>
        </w:rPr>
        <w:t>Instructions for conducting non-examination assessments (new GCE &amp; GCSE specifications)</w:t>
      </w:r>
      <w:r w:rsidR="00850393">
        <w:rPr>
          <w:rFonts w:ascii="Arial" w:hAnsi="Arial" w:cs="Arial"/>
        </w:rPr>
        <w:t>’</w:t>
      </w:r>
    </w:p>
    <w:p w14:paraId="4A8503B7" w14:textId="560AF8D7" w:rsidR="00827A27" w:rsidRDefault="00317ACE" w:rsidP="001C59CD">
      <w:pPr>
        <w:pStyle w:val="Style2"/>
        <w:numPr>
          <w:ilvl w:val="0"/>
          <w:numId w:val="7"/>
        </w:numPr>
        <w:spacing w:after="120"/>
        <w:ind w:left="1984" w:hanging="425"/>
        <w:jc w:val="both"/>
        <w:rPr>
          <w:rFonts w:ascii="Arial" w:hAnsi="Arial" w:cs="Arial"/>
        </w:rPr>
      </w:pPr>
      <w:r>
        <w:rPr>
          <w:rFonts w:ascii="Arial" w:hAnsi="Arial" w:cs="Arial"/>
        </w:rPr>
        <w:t>Joint Council for Qualifications (JCQ) (2017) 'General Regulations for Approved Centres</w:t>
      </w:r>
      <w:r w:rsidR="00095F9F">
        <w:rPr>
          <w:rFonts w:ascii="Arial" w:hAnsi="Arial" w:cs="Arial"/>
        </w:rPr>
        <w:t xml:space="preserve"> 2017-2018</w:t>
      </w:r>
      <w:r>
        <w:rPr>
          <w:rFonts w:ascii="Arial" w:hAnsi="Arial" w:cs="Arial"/>
        </w:rPr>
        <w:t>'</w:t>
      </w:r>
    </w:p>
    <w:p w14:paraId="560B738A" w14:textId="77777777" w:rsidR="00482DC7" w:rsidRDefault="00482DC7" w:rsidP="00095F9F">
      <w:pPr>
        <w:pStyle w:val="Style2"/>
      </w:pPr>
      <w:r>
        <w:t>This policy will be implemented in conjunction with the following school policies:</w:t>
      </w:r>
    </w:p>
    <w:p w14:paraId="0C83F8E2" w14:textId="77777777" w:rsidR="00482DC7" w:rsidRPr="00881DB6" w:rsidRDefault="00482DC7" w:rsidP="001C59CD">
      <w:pPr>
        <w:pStyle w:val="Style2"/>
        <w:numPr>
          <w:ilvl w:val="0"/>
          <w:numId w:val="7"/>
        </w:numPr>
        <w:spacing w:after="120"/>
        <w:ind w:left="1984" w:hanging="425"/>
        <w:jc w:val="both"/>
        <w:rPr>
          <w:rFonts w:ascii="Arial" w:hAnsi="Arial" w:cs="Arial"/>
        </w:rPr>
      </w:pPr>
      <w:r w:rsidRPr="00881DB6">
        <w:rPr>
          <w:rFonts w:ascii="Arial" w:hAnsi="Arial" w:cs="Arial"/>
        </w:rPr>
        <w:t xml:space="preserve">Behavioural Policy </w:t>
      </w:r>
    </w:p>
    <w:p w14:paraId="6CD5FFF6" w14:textId="77777777" w:rsidR="00482DC7" w:rsidRPr="00881DB6" w:rsidRDefault="00482DC7" w:rsidP="001C59CD">
      <w:pPr>
        <w:pStyle w:val="Style2"/>
        <w:numPr>
          <w:ilvl w:val="0"/>
          <w:numId w:val="7"/>
        </w:numPr>
        <w:spacing w:after="120"/>
        <w:ind w:left="1984" w:hanging="425"/>
        <w:jc w:val="both"/>
        <w:rPr>
          <w:rFonts w:ascii="Arial" w:hAnsi="Arial" w:cs="Arial"/>
        </w:rPr>
      </w:pPr>
      <w:r w:rsidRPr="00881DB6">
        <w:rPr>
          <w:rFonts w:ascii="Arial" w:hAnsi="Arial" w:cs="Arial"/>
        </w:rPr>
        <w:t xml:space="preserve">Exam Appeals Policy </w:t>
      </w:r>
    </w:p>
    <w:p w14:paraId="519E6FC4" w14:textId="7B5E5ACC" w:rsidR="00482DC7" w:rsidRPr="00881DB6" w:rsidRDefault="00482DC7" w:rsidP="001C59CD">
      <w:pPr>
        <w:pStyle w:val="Style2"/>
        <w:numPr>
          <w:ilvl w:val="0"/>
          <w:numId w:val="7"/>
        </w:numPr>
        <w:spacing w:after="120"/>
        <w:ind w:left="1984" w:hanging="425"/>
        <w:jc w:val="both"/>
        <w:rPr>
          <w:rFonts w:ascii="Arial" w:hAnsi="Arial" w:cs="Arial"/>
        </w:rPr>
      </w:pPr>
      <w:r w:rsidRPr="00881DB6">
        <w:rPr>
          <w:rFonts w:ascii="Arial" w:hAnsi="Arial" w:cs="Arial"/>
        </w:rPr>
        <w:t xml:space="preserve">Equal Opportunities Policy </w:t>
      </w:r>
    </w:p>
    <w:p w14:paraId="1B79BE03" w14:textId="49C22C45" w:rsidR="00850393" w:rsidRDefault="00850393" w:rsidP="00F47112">
      <w:pPr>
        <w:pStyle w:val="Heading10"/>
        <w:jc w:val="both"/>
        <w:rPr>
          <w:b/>
          <w:sz w:val="28"/>
        </w:rPr>
      </w:pPr>
      <w:bookmarkStart w:id="11" w:name="_Roles_and_responsibilities"/>
      <w:bookmarkEnd w:id="11"/>
      <w:r w:rsidRPr="00850393">
        <w:rPr>
          <w:b/>
          <w:sz w:val="28"/>
        </w:rPr>
        <w:t>Roles and responsibilities</w:t>
      </w:r>
    </w:p>
    <w:p w14:paraId="1E300931" w14:textId="77F58A2B" w:rsidR="00850393" w:rsidRDefault="00850393" w:rsidP="00F47112">
      <w:pPr>
        <w:pStyle w:val="Style2"/>
        <w:jc w:val="both"/>
      </w:pPr>
      <w:r>
        <w:t xml:space="preserve">The </w:t>
      </w:r>
      <w:proofErr w:type="spellStart"/>
      <w:r w:rsidRPr="00881DB6">
        <w:rPr>
          <w:rFonts w:cstheme="minorBidi"/>
        </w:rPr>
        <w:t>headteacher</w:t>
      </w:r>
      <w:proofErr w:type="spellEnd"/>
      <w:r w:rsidRPr="00881DB6">
        <w:rPr>
          <w:rFonts w:cstheme="minorBidi"/>
        </w:rPr>
        <w:t xml:space="preserve"> i</w:t>
      </w:r>
      <w:r>
        <w:t xml:space="preserve">s responsible for: </w:t>
      </w:r>
      <w:r w:rsidRPr="00850393">
        <w:t xml:space="preserve">  </w:t>
      </w:r>
    </w:p>
    <w:p w14:paraId="21C27E3F" w14:textId="37900D1B" w:rsidR="00850393" w:rsidRDefault="00763114" w:rsidP="00095F9F">
      <w:pPr>
        <w:pStyle w:val="PolicyBullets"/>
        <w:contextualSpacing w:val="0"/>
        <w:jc w:val="both"/>
      </w:pPr>
      <w:r>
        <w:t xml:space="preserve">Appointing an appropriate </w:t>
      </w:r>
      <w:r w:rsidRPr="00881DB6">
        <w:t>subject leader</w:t>
      </w:r>
      <w:r w:rsidR="00095F9F" w:rsidRPr="00881DB6">
        <w:t xml:space="preserve"> </w:t>
      </w:r>
      <w:r w:rsidR="00095F9F" w:rsidRPr="00095F9F">
        <w:t>for each</w:t>
      </w:r>
      <w:r w:rsidR="00095F9F">
        <w:t xml:space="preserve"> subject that involves non-examination assessment</w:t>
      </w:r>
      <w:r w:rsidRPr="00763114">
        <w:t>.</w:t>
      </w:r>
    </w:p>
    <w:p w14:paraId="07BA5DB5" w14:textId="1DAC216E" w:rsidR="00763114" w:rsidRDefault="00763114" w:rsidP="00095F9F">
      <w:pPr>
        <w:pStyle w:val="PolicyBullets"/>
        <w:contextualSpacing w:val="0"/>
        <w:jc w:val="both"/>
      </w:pPr>
      <w:r>
        <w:t xml:space="preserve">Ensuring that the </w:t>
      </w:r>
      <w:r w:rsidR="00226E4A">
        <w:t>school</w:t>
      </w:r>
      <w:r>
        <w:t xml:space="preserve">’s </w:t>
      </w:r>
      <w:r w:rsidR="000647B0">
        <w:t>N</w:t>
      </w:r>
      <w:r>
        <w:t>on-</w:t>
      </w:r>
      <w:r w:rsidR="000647B0">
        <w:t>E</w:t>
      </w:r>
      <w:r>
        <w:t xml:space="preserve">xamination </w:t>
      </w:r>
      <w:r w:rsidR="000647B0">
        <w:t>A</w:t>
      </w:r>
      <w:r>
        <w:t xml:space="preserve">ssessment </w:t>
      </w:r>
      <w:r w:rsidR="000647B0">
        <w:t>P</w:t>
      </w:r>
      <w:r>
        <w:t xml:space="preserve">olicy is fit for purpose. </w:t>
      </w:r>
    </w:p>
    <w:p w14:paraId="5D0B11CB" w14:textId="5B2D6140" w:rsidR="00763114" w:rsidRDefault="00763114" w:rsidP="00095F9F">
      <w:pPr>
        <w:pStyle w:val="PolicyBullets"/>
        <w:contextualSpacing w:val="0"/>
        <w:jc w:val="both"/>
      </w:pPr>
      <w:r>
        <w:t xml:space="preserve">Ensuring the </w:t>
      </w:r>
      <w:r w:rsidR="00226E4A">
        <w:t>school</w:t>
      </w:r>
      <w:r>
        <w:t xml:space="preserve">’s </w:t>
      </w:r>
      <w:r w:rsidRPr="00095F9F">
        <w:t xml:space="preserve">internal appeals procedures </w:t>
      </w:r>
      <w:r>
        <w:t xml:space="preserve">clearly detail that the </w:t>
      </w:r>
      <w:r w:rsidR="00317ACE">
        <w:t xml:space="preserve">appeals </w:t>
      </w:r>
      <w:r>
        <w:t xml:space="preserve">procedure is to </w:t>
      </w:r>
      <w:proofErr w:type="gramStart"/>
      <w:r>
        <w:t>be followed</w:t>
      </w:r>
      <w:proofErr w:type="gramEnd"/>
      <w:r>
        <w:t xml:space="preserve"> by </w:t>
      </w:r>
      <w:r w:rsidRPr="00095F9F">
        <w:t>candidates</w:t>
      </w:r>
      <w:r w:rsidR="00317ACE">
        <w:t xml:space="preserve"> </w:t>
      </w:r>
      <w:r w:rsidR="00095F9F">
        <w:t>and</w:t>
      </w:r>
      <w:r w:rsidR="00317ACE">
        <w:t xml:space="preserve"> </w:t>
      </w:r>
      <w:r w:rsidRPr="00095F9F">
        <w:t xml:space="preserve">parents </w:t>
      </w:r>
      <w:r>
        <w:t>appealing against internally assessed marks.</w:t>
      </w:r>
    </w:p>
    <w:p w14:paraId="368B349B" w14:textId="77801EE5" w:rsidR="00763114" w:rsidRDefault="00763114" w:rsidP="00095F9F">
      <w:pPr>
        <w:pStyle w:val="PolicyBullets"/>
        <w:contextualSpacing w:val="0"/>
        <w:jc w:val="both"/>
      </w:pPr>
      <w:r>
        <w:t xml:space="preserve">Ensuring the correct conduct of non-examination assessments, which complies with JCQ and awarding body </w:t>
      </w:r>
      <w:r w:rsidR="00200B60">
        <w:t xml:space="preserve">subject-specific instructions, </w:t>
      </w:r>
      <w:proofErr w:type="gramStart"/>
      <w:r w:rsidR="00200B60">
        <w:t>is followed</w:t>
      </w:r>
      <w:proofErr w:type="gramEnd"/>
      <w:r w:rsidR="00200B60">
        <w:t>.</w:t>
      </w:r>
    </w:p>
    <w:p w14:paraId="1EEEBF0F" w14:textId="244495C4" w:rsidR="00317ACE" w:rsidRDefault="00317ACE" w:rsidP="00317ACE">
      <w:pPr>
        <w:pStyle w:val="PolicyBullets"/>
        <w:jc w:val="both"/>
      </w:pPr>
      <w:r>
        <w:t xml:space="preserve">Ensuring the assessment schedule </w:t>
      </w:r>
      <w:proofErr w:type="gramStart"/>
      <w:r>
        <w:t>is recorded</w:t>
      </w:r>
      <w:proofErr w:type="gramEnd"/>
      <w:r>
        <w:t xml:space="preserve"> in the school-wide calendar by the beginning of the academic year</w:t>
      </w:r>
      <w:r w:rsidR="00200B60">
        <w:t xml:space="preserve">. </w:t>
      </w:r>
    </w:p>
    <w:p w14:paraId="681E172C" w14:textId="77915ECC" w:rsidR="00317ACE" w:rsidRDefault="00317ACE" w:rsidP="00317ACE">
      <w:pPr>
        <w:pStyle w:val="PolicyBullets"/>
        <w:jc w:val="both"/>
      </w:pPr>
      <w:r>
        <w:t xml:space="preserve">Ensuring there is no conflict of interest, for example </w:t>
      </w:r>
      <w:proofErr w:type="gramStart"/>
      <w:r>
        <w:t>a teacher teaching their</w:t>
      </w:r>
      <w:proofErr w:type="gramEnd"/>
      <w:r>
        <w:t xml:space="preserve"> own child. </w:t>
      </w:r>
    </w:p>
    <w:p w14:paraId="2AE62006" w14:textId="3D4F4FAD" w:rsidR="00056A8C" w:rsidRDefault="00317ACE" w:rsidP="00881B51">
      <w:pPr>
        <w:pStyle w:val="PolicyBullets"/>
        <w:spacing w:after="120"/>
        <w:contextualSpacing w:val="0"/>
        <w:jc w:val="both"/>
      </w:pPr>
      <w:r>
        <w:t xml:space="preserve">Ensuring that external moderators receive the correct samples of work to review, within the </w:t>
      </w:r>
      <w:proofErr w:type="gramStart"/>
      <w:r>
        <w:t>time frame</w:t>
      </w:r>
      <w:proofErr w:type="gramEnd"/>
      <w:r>
        <w:t xml:space="preserve"> specified by the awarding body. </w:t>
      </w:r>
    </w:p>
    <w:p w14:paraId="31D3EC34" w14:textId="66732FB3" w:rsidR="00056A8C" w:rsidRDefault="00317ACE" w:rsidP="00F47112">
      <w:pPr>
        <w:pStyle w:val="Style2"/>
        <w:jc w:val="both"/>
      </w:pPr>
      <w:r w:rsidRPr="00881DB6">
        <w:rPr>
          <w:rFonts w:cstheme="minorBidi"/>
        </w:rPr>
        <w:t>S</w:t>
      </w:r>
      <w:r w:rsidR="00056A8C" w:rsidRPr="00881DB6">
        <w:rPr>
          <w:rFonts w:cstheme="minorBidi"/>
        </w:rPr>
        <w:t>ubject leader</w:t>
      </w:r>
      <w:r w:rsidRPr="00881DB6">
        <w:rPr>
          <w:rFonts w:cstheme="minorBidi"/>
        </w:rPr>
        <w:t>s</w:t>
      </w:r>
      <w:r w:rsidR="00056A8C">
        <w:t xml:space="preserve"> </w:t>
      </w:r>
      <w:r>
        <w:t>are</w:t>
      </w:r>
      <w:r w:rsidR="00056A8C">
        <w:t xml:space="preserve"> responsible for:</w:t>
      </w:r>
    </w:p>
    <w:p w14:paraId="026F80F6" w14:textId="0C508470" w:rsidR="00200B60" w:rsidRDefault="00200B60" w:rsidP="00F47112">
      <w:pPr>
        <w:pStyle w:val="PolicyBullets"/>
        <w:spacing w:before="120"/>
        <w:contextualSpacing w:val="0"/>
        <w:jc w:val="both"/>
      </w:pPr>
      <w:r>
        <w:t xml:space="preserve">Confirming with </w:t>
      </w:r>
      <w:r w:rsidRPr="00881DB6">
        <w:t xml:space="preserve">subject </w:t>
      </w:r>
      <w:r w:rsidR="00581E07" w:rsidRPr="00881DB6">
        <w:t>teacher</w:t>
      </w:r>
      <w:r w:rsidR="009347D4" w:rsidRPr="00881DB6">
        <w:t>s</w:t>
      </w:r>
      <w:r w:rsidR="00581E07" w:rsidRPr="00881DB6">
        <w:t xml:space="preserve"> </w:t>
      </w:r>
      <w:r>
        <w:t xml:space="preserve">that </w:t>
      </w:r>
      <w:proofErr w:type="gramStart"/>
      <w:r>
        <w:t>appropriate awarding body forms and templates for non-examination assessments are used by teachers and candidates</w:t>
      </w:r>
      <w:proofErr w:type="gramEnd"/>
      <w:r>
        <w:t xml:space="preserve">. </w:t>
      </w:r>
    </w:p>
    <w:p w14:paraId="0B8397B9" w14:textId="38BA32CB" w:rsidR="00200B60" w:rsidRDefault="00B83066" w:rsidP="00F47112">
      <w:pPr>
        <w:pStyle w:val="PolicyBullets"/>
        <w:jc w:val="both"/>
      </w:pPr>
      <w:r>
        <w:t xml:space="preserve">Ensuring appropriate procedures are in place for internally standardising/moderating the marks </w:t>
      </w:r>
      <w:r w:rsidR="00056A8C">
        <w:t xml:space="preserve">awarded by </w:t>
      </w:r>
      <w:r w:rsidR="00056A8C" w:rsidRPr="00881DB6">
        <w:t>subject teachers</w:t>
      </w:r>
      <w:r w:rsidR="00056A8C">
        <w:t xml:space="preserve"> in line with the awarding body’s criteria. </w:t>
      </w:r>
    </w:p>
    <w:p w14:paraId="5A3B61CC" w14:textId="1C8CE762" w:rsidR="00056A8C" w:rsidRDefault="00056A8C" w:rsidP="00F47112">
      <w:pPr>
        <w:pStyle w:val="PolicyBullets"/>
        <w:jc w:val="both"/>
      </w:pPr>
      <w:r>
        <w:t xml:space="preserve">Providing a </w:t>
      </w:r>
      <w:r w:rsidR="00226E4A">
        <w:t>school</w:t>
      </w:r>
      <w:r>
        <w:t>-devised template, where the awarding body has not provided one, for candidates to record their research, planning, resources</w:t>
      </w:r>
      <w:r w:rsidR="00FF3E42">
        <w:t>,</w:t>
      </w:r>
      <w:r>
        <w:t xml:space="preserve"> etc. </w:t>
      </w:r>
    </w:p>
    <w:p w14:paraId="7C58327C" w14:textId="649555CB" w:rsidR="00056A8C" w:rsidRDefault="00581E07" w:rsidP="00F47112">
      <w:pPr>
        <w:pStyle w:val="PolicyBullets"/>
        <w:jc w:val="both"/>
      </w:pPr>
      <w:r>
        <w:t xml:space="preserve">Ensuring </w:t>
      </w:r>
      <w:r w:rsidRPr="00881DB6">
        <w:t>subject teachers</w:t>
      </w:r>
      <w:r>
        <w:t xml:space="preserve"> understand their role</w:t>
      </w:r>
      <w:r w:rsidR="00FF3E42">
        <w:t>s</w:t>
      </w:r>
      <w:r>
        <w:t xml:space="preserve"> and responsibilities within the non-examination assessment process. </w:t>
      </w:r>
    </w:p>
    <w:p w14:paraId="183E5F50" w14:textId="42C341C7" w:rsidR="00581E07" w:rsidRDefault="00581E07" w:rsidP="00F47112">
      <w:pPr>
        <w:pStyle w:val="PolicyBullets"/>
        <w:jc w:val="both"/>
      </w:pPr>
      <w:r>
        <w:t xml:space="preserve">Ensuring JCQ and relevant awarding body subject-specific instructions </w:t>
      </w:r>
      <w:proofErr w:type="gramStart"/>
      <w:r>
        <w:t>are followed</w:t>
      </w:r>
      <w:proofErr w:type="gramEnd"/>
      <w:r>
        <w:t xml:space="preserve"> in relation to the conduct of non-examination assessments. </w:t>
      </w:r>
    </w:p>
    <w:p w14:paraId="19E20FBF" w14:textId="6A912349" w:rsidR="00581E07" w:rsidRDefault="00581E07" w:rsidP="00F47112">
      <w:pPr>
        <w:pStyle w:val="PolicyBullets"/>
        <w:jc w:val="both"/>
      </w:pPr>
      <w:r>
        <w:t xml:space="preserve">Ensuring the </w:t>
      </w:r>
      <w:r w:rsidRPr="00881DB6">
        <w:t>exam</w:t>
      </w:r>
      <w:r w:rsidR="00317ACE" w:rsidRPr="00881DB6">
        <w:t>ination</w:t>
      </w:r>
      <w:r w:rsidRPr="00881DB6">
        <w:t xml:space="preserve"> officer</w:t>
      </w:r>
      <w:r>
        <w:t xml:space="preserve"> </w:t>
      </w:r>
      <w:proofErr w:type="gramStart"/>
      <w:r>
        <w:t>is provided</w:t>
      </w:r>
      <w:proofErr w:type="gramEnd"/>
      <w:r>
        <w:t xml:space="preserve"> with the relevant entry codes for subjects in time with the internal deadlines for entries. </w:t>
      </w:r>
    </w:p>
    <w:p w14:paraId="22DE4BC2" w14:textId="58A5CD21" w:rsidR="00581E07" w:rsidRDefault="00581E07" w:rsidP="00F47112">
      <w:pPr>
        <w:pStyle w:val="PolicyBullets"/>
        <w:jc w:val="both"/>
      </w:pPr>
      <w:r>
        <w:t xml:space="preserve">Understanding and complying with the general JCQ instructions. </w:t>
      </w:r>
    </w:p>
    <w:p w14:paraId="71BFB07C" w14:textId="77777777" w:rsidR="00581E07" w:rsidRDefault="00581E07" w:rsidP="00F47112">
      <w:pPr>
        <w:pStyle w:val="PolicyBullets"/>
        <w:jc w:val="both"/>
      </w:pPr>
      <w:r>
        <w:t xml:space="preserve">Where instructions </w:t>
      </w:r>
      <w:proofErr w:type="gramStart"/>
      <w:r>
        <w:t>may also be provided</w:t>
      </w:r>
      <w:proofErr w:type="gramEnd"/>
      <w:r>
        <w:t xml:space="preserve"> by the awarding body, understanding and complying with the awarding body’s specification for conducting non-examination assessments, including any subject-specific instructions, teachers’ notes or additional information on the awarding body’s website. </w:t>
      </w:r>
    </w:p>
    <w:p w14:paraId="2B8AFD5B" w14:textId="32A18D94" w:rsidR="00581E07" w:rsidRDefault="00581E07" w:rsidP="00B97313">
      <w:pPr>
        <w:pStyle w:val="PolicyBullets"/>
        <w:spacing w:after="120"/>
        <w:contextualSpacing w:val="0"/>
        <w:jc w:val="both"/>
      </w:pPr>
      <w:r>
        <w:t xml:space="preserve">Marking internally assessed work to the criteria provided by the awarding body. </w:t>
      </w:r>
    </w:p>
    <w:p w14:paraId="70EF47EF" w14:textId="0FCCC02A" w:rsidR="00581E07" w:rsidRPr="00881DB6" w:rsidRDefault="00581E07" w:rsidP="00F47112">
      <w:pPr>
        <w:pStyle w:val="Style2"/>
        <w:jc w:val="both"/>
        <w:rPr>
          <w:rFonts w:cstheme="minorBidi"/>
        </w:rPr>
      </w:pPr>
      <w:r>
        <w:t xml:space="preserve">The </w:t>
      </w:r>
      <w:r w:rsidRPr="00881DB6">
        <w:rPr>
          <w:rFonts w:cstheme="minorBidi"/>
        </w:rPr>
        <w:t>exam</w:t>
      </w:r>
      <w:r w:rsidR="00095F9F" w:rsidRPr="00881DB6">
        <w:rPr>
          <w:rFonts w:cstheme="minorBidi"/>
        </w:rPr>
        <w:t>ination</w:t>
      </w:r>
      <w:r w:rsidRPr="00881DB6">
        <w:rPr>
          <w:rFonts w:cstheme="minorBidi"/>
        </w:rPr>
        <w:t xml:space="preserve"> officer is responsible for:</w:t>
      </w:r>
    </w:p>
    <w:p w14:paraId="7287328B" w14:textId="24FB84C7" w:rsidR="00403FC1" w:rsidRDefault="00403FC1" w:rsidP="00F47112">
      <w:pPr>
        <w:pStyle w:val="PolicyBullets"/>
        <w:jc w:val="both"/>
      </w:pPr>
      <w:r>
        <w:t xml:space="preserve">Carrying out tasks, where these may be applicable, </w:t>
      </w:r>
      <w:r w:rsidR="00317ACE">
        <w:t>that</w:t>
      </w:r>
      <w:r>
        <w:t xml:space="preserve"> support the administration</w:t>
      </w:r>
      <w:r w:rsidR="00735834">
        <w:t xml:space="preserve"> and </w:t>
      </w:r>
      <w:r>
        <w:t xml:space="preserve">management of non-examination assessments. </w:t>
      </w:r>
      <w:r w:rsidR="00581E07">
        <w:t xml:space="preserve"> </w:t>
      </w:r>
    </w:p>
    <w:p w14:paraId="79917D99" w14:textId="5A2FA16A" w:rsidR="00581E07" w:rsidRDefault="00403FC1" w:rsidP="00F47112">
      <w:pPr>
        <w:pStyle w:val="PolicyBullets"/>
        <w:jc w:val="both"/>
      </w:pPr>
      <w:r>
        <w:t xml:space="preserve">Ensuring </w:t>
      </w:r>
      <w:r w:rsidRPr="00881DB6">
        <w:t>subject leaders</w:t>
      </w:r>
      <w:r w:rsidRPr="00403FC1">
        <w:rPr>
          <w:color w:val="FFD006"/>
        </w:rPr>
        <w:t xml:space="preserve"> </w:t>
      </w:r>
      <w:proofErr w:type="gramStart"/>
      <w:r>
        <w:t>are kept</w:t>
      </w:r>
      <w:proofErr w:type="gramEnd"/>
      <w:r>
        <w:t xml:space="preserve"> up</w:t>
      </w:r>
      <w:r w:rsidR="00735834">
        <w:t>-</w:t>
      </w:r>
      <w:r>
        <w:t>to</w:t>
      </w:r>
      <w:r w:rsidR="00735834">
        <w:t>-</w:t>
      </w:r>
      <w:r>
        <w:t xml:space="preserve">date with JCQ regulations and information. </w:t>
      </w:r>
      <w:r w:rsidR="00581E07">
        <w:t xml:space="preserve"> </w:t>
      </w:r>
    </w:p>
    <w:p w14:paraId="11182270" w14:textId="691A9F42" w:rsidR="006E25B3" w:rsidRDefault="006E25B3" w:rsidP="00F47112">
      <w:pPr>
        <w:pStyle w:val="PolicyBullets"/>
        <w:jc w:val="both"/>
      </w:pPr>
      <w:r>
        <w:t xml:space="preserve">Ensuring that candidates </w:t>
      </w:r>
      <w:proofErr w:type="gramStart"/>
      <w:r>
        <w:t>are entered</w:t>
      </w:r>
      <w:proofErr w:type="gramEnd"/>
      <w:r>
        <w:t xml:space="preserve"> for the correct assessments and the entry forms reach the relevant awarding body at the specified time. </w:t>
      </w:r>
    </w:p>
    <w:p w14:paraId="5B8449BD" w14:textId="719A7B78" w:rsidR="00403FC1" w:rsidRDefault="00403FC1" w:rsidP="00095F9F">
      <w:pPr>
        <w:pStyle w:val="Style2"/>
        <w:spacing w:before="120"/>
        <w:ind w:left="788" w:hanging="431"/>
        <w:jc w:val="both"/>
      </w:pPr>
      <w:r>
        <w:t xml:space="preserve">The </w:t>
      </w:r>
      <w:r w:rsidRPr="004947C1">
        <w:rPr>
          <w:rFonts w:ascii="Helvetica" w:hAnsi="Helvetica" w:cs="Helvetica"/>
          <w:shd w:val="clear" w:color="auto" w:fill="FFFFFF"/>
        </w:rPr>
        <w:t>invigilators</w:t>
      </w:r>
      <w:r w:rsidRPr="004947C1">
        <w:t xml:space="preserve">/supervisors </w:t>
      </w:r>
      <w:r w:rsidRPr="00403FC1">
        <w:t>are responsible for:</w:t>
      </w:r>
    </w:p>
    <w:p w14:paraId="724CEEFA" w14:textId="17228A91" w:rsidR="00850393" w:rsidRDefault="00403FC1" w:rsidP="00B97313">
      <w:pPr>
        <w:pStyle w:val="PolicyBullets"/>
        <w:spacing w:after="120"/>
        <w:contextualSpacing w:val="0"/>
        <w:jc w:val="both"/>
      </w:pPr>
      <w:r>
        <w:t>Ensuring non-examination assessment</w:t>
      </w:r>
      <w:r w:rsidR="00735834">
        <w:t>s</w:t>
      </w:r>
      <w:r>
        <w:t xml:space="preserve"> </w:t>
      </w:r>
      <w:proofErr w:type="gramStart"/>
      <w:r>
        <w:t>are in compliance</w:t>
      </w:r>
      <w:proofErr w:type="gramEnd"/>
      <w:r>
        <w:t xml:space="preserve"> with JCQ</w:t>
      </w:r>
      <w:r w:rsidR="003D2D69">
        <w:t>’s</w:t>
      </w:r>
      <w:r>
        <w:t xml:space="preserve"> and the awarding body’s specification. </w:t>
      </w:r>
    </w:p>
    <w:p w14:paraId="15357BFF" w14:textId="53089DA2" w:rsidR="00850393" w:rsidRPr="002F4216" w:rsidRDefault="00403FC1" w:rsidP="00F47112">
      <w:pPr>
        <w:pStyle w:val="Heading10"/>
        <w:jc w:val="both"/>
        <w:rPr>
          <w:b/>
          <w:sz w:val="28"/>
        </w:rPr>
      </w:pPr>
      <w:bookmarkStart w:id="12" w:name="_The_basic_principles"/>
      <w:bookmarkEnd w:id="12"/>
      <w:r w:rsidRPr="002F4216">
        <w:rPr>
          <w:b/>
          <w:sz w:val="28"/>
        </w:rPr>
        <w:t>The basic principles</w:t>
      </w:r>
    </w:p>
    <w:p w14:paraId="025E5B05" w14:textId="4300AA9F" w:rsidR="00403FC1" w:rsidRDefault="00403FC1" w:rsidP="00F47112">
      <w:pPr>
        <w:pStyle w:val="Style2"/>
        <w:jc w:val="both"/>
      </w:pPr>
      <w:r>
        <w:t xml:space="preserve">Non-examination assessments measure subject-specific knowledge and skills that </w:t>
      </w:r>
      <w:proofErr w:type="gramStart"/>
      <w:r>
        <w:t>cannot be tested</w:t>
      </w:r>
      <w:proofErr w:type="gramEnd"/>
      <w:r>
        <w:t xml:space="preserve"> by timed written papers. </w:t>
      </w:r>
    </w:p>
    <w:p w14:paraId="20AB94AA" w14:textId="2600CE3F" w:rsidR="00EB5683" w:rsidRDefault="00544FB6" w:rsidP="00F47112">
      <w:pPr>
        <w:pStyle w:val="Style2"/>
        <w:jc w:val="both"/>
      </w:pPr>
      <w:r>
        <w:t>There are three a</w:t>
      </w:r>
      <w:r w:rsidR="00EB5683">
        <w:t>ssessment</w:t>
      </w:r>
      <w:r>
        <w:t xml:space="preserve"> stages</w:t>
      </w:r>
      <w:r w:rsidR="00C211F9">
        <w:t>,</w:t>
      </w:r>
      <w:r>
        <w:t xml:space="preserve"> and </w:t>
      </w:r>
      <w:proofErr w:type="gramStart"/>
      <w:r>
        <w:t>rules which</w:t>
      </w:r>
      <w:proofErr w:type="gramEnd"/>
      <w:r>
        <w:t xml:space="preserve"> apply to each stage. These stages are:</w:t>
      </w:r>
    </w:p>
    <w:p w14:paraId="58AF5AB2" w14:textId="3E501111" w:rsidR="00544FB6" w:rsidRDefault="00544FB6" w:rsidP="00F47112">
      <w:pPr>
        <w:pStyle w:val="PolicyBullets"/>
        <w:jc w:val="both"/>
      </w:pPr>
      <w:r>
        <w:t>Task setting</w:t>
      </w:r>
    </w:p>
    <w:p w14:paraId="7F299D44" w14:textId="0F7C5F6E" w:rsidR="00544FB6" w:rsidRDefault="00544FB6" w:rsidP="00F47112">
      <w:pPr>
        <w:pStyle w:val="PolicyBullets"/>
        <w:jc w:val="both"/>
      </w:pPr>
      <w:r>
        <w:t>Task taking</w:t>
      </w:r>
    </w:p>
    <w:p w14:paraId="3165B356" w14:textId="0B317830" w:rsidR="00544FB6" w:rsidRDefault="00544FB6" w:rsidP="00F47112">
      <w:pPr>
        <w:pStyle w:val="PolicyBullets"/>
        <w:spacing w:after="120"/>
        <w:contextualSpacing w:val="0"/>
        <w:jc w:val="both"/>
      </w:pPr>
      <w:r>
        <w:t>Task marking</w:t>
      </w:r>
    </w:p>
    <w:p w14:paraId="03DC853C" w14:textId="3DF00053" w:rsidR="00B80981" w:rsidRDefault="00B80981" w:rsidP="004947C1">
      <w:pPr>
        <w:pStyle w:val="Style2"/>
      </w:pPr>
      <w:r>
        <w:t xml:space="preserve">The functionality of these rules will vary across subjects due to subject-specific content; for example, the implementation of working in silence would not necessarily be applicable in a drama assessment. </w:t>
      </w:r>
    </w:p>
    <w:p w14:paraId="3DCB2BE8" w14:textId="494D9D66" w:rsidR="00544FB6" w:rsidRDefault="00EB5683" w:rsidP="00F47112">
      <w:pPr>
        <w:pStyle w:val="Style2"/>
        <w:jc w:val="both"/>
      </w:pPr>
      <w:r>
        <w:t xml:space="preserve">JCQ requires each </w:t>
      </w:r>
      <w:r w:rsidR="00B80981">
        <w:t xml:space="preserve">school conducting </w:t>
      </w:r>
      <w:r>
        <w:t>non-examination assessment</w:t>
      </w:r>
      <w:r w:rsidR="00B80981">
        <w:t>s</w:t>
      </w:r>
      <w:r>
        <w:t xml:space="preserve"> to have a </w:t>
      </w:r>
      <w:r w:rsidR="002343C0">
        <w:t>N</w:t>
      </w:r>
      <w:r>
        <w:t>on-</w:t>
      </w:r>
      <w:r w:rsidR="002343C0">
        <w:t>E</w:t>
      </w:r>
      <w:r>
        <w:t xml:space="preserve">xamination </w:t>
      </w:r>
      <w:r w:rsidR="002343C0">
        <w:t>A</w:t>
      </w:r>
      <w:r>
        <w:t xml:space="preserve">ssessment </w:t>
      </w:r>
      <w:r w:rsidR="002343C0">
        <w:t>P</w:t>
      </w:r>
      <w:r>
        <w:t>olicy in place to:</w:t>
      </w:r>
    </w:p>
    <w:p w14:paraId="0D296C47" w14:textId="0187E0E8" w:rsidR="00EB5683" w:rsidRDefault="00EB5683" w:rsidP="00F47112">
      <w:pPr>
        <w:pStyle w:val="PolicyBullets"/>
        <w:jc w:val="both"/>
      </w:pPr>
      <w:r>
        <w:t>Cover procedures for planning and managing non-examination assessments.</w:t>
      </w:r>
    </w:p>
    <w:p w14:paraId="4D95934E" w14:textId="3C0A6976" w:rsidR="00EB5683" w:rsidRDefault="00EB5683" w:rsidP="00F47112">
      <w:pPr>
        <w:pStyle w:val="PolicyBullets"/>
        <w:jc w:val="both"/>
      </w:pPr>
      <w:r>
        <w:t xml:space="preserve">Define </w:t>
      </w:r>
      <w:r w:rsidR="00C804B5">
        <w:t>teaching staff</w:t>
      </w:r>
      <w:r>
        <w:t xml:space="preserve"> roles and responsibilities with respect to non-examination assessments. </w:t>
      </w:r>
    </w:p>
    <w:p w14:paraId="493E79B3" w14:textId="6DAA01A5" w:rsidR="00EB5683" w:rsidRDefault="00EB5683" w:rsidP="00F47112">
      <w:pPr>
        <w:pStyle w:val="PolicyBullets"/>
        <w:spacing w:after="120"/>
        <w:contextualSpacing w:val="0"/>
        <w:jc w:val="both"/>
      </w:pPr>
      <w:r>
        <w:t xml:space="preserve">Manage risks associated with non-examination assessments. </w:t>
      </w:r>
    </w:p>
    <w:p w14:paraId="2E0E0337" w14:textId="2D9D7A0B" w:rsidR="00EB5683" w:rsidRPr="00881DB6" w:rsidRDefault="00EB5683" w:rsidP="00F47112">
      <w:pPr>
        <w:pStyle w:val="Style2"/>
        <w:jc w:val="both"/>
        <w:rPr>
          <w:rFonts w:cstheme="minorBidi"/>
        </w:rPr>
      </w:pPr>
      <w:r>
        <w:t xml:space="preserve">A JCQ </w:t>
      </w:r>
      <w:r w:rsidR="00735834">
        <w:t>s</w:t>
      </w:r>
      <w:r w:rsidR="00226E4A">
        <w:t>chool</w:t>
      </w:r>
      <w:r>
        <w:t xml:space="preserve"> </w:t>
      </w:r>
      <w:r w:rsidR="00735834">
        <w:t>i</w:t>
      </w:r>
      <w:r>
        <w:t xml:space="preserve">nspector will ask </w:t>
      </w:r>
      <w:r w:rsidRPr="00881DB6">
        <w:rPr>
          <w:rFonts w:cstheme="minorBidi"/>
        </w:rPr>
        <w:t xml:space="preserve">the examinations officer to confirm that such a policy is in place. </w:t>
      </w:r>
    </w:p>
    <w:p w14:paraId="2A615CD8" w14:textId="1DB49837" w:rsidR="007D2BAB" w:rsidRDefault="00EB5683" w:rsidP="00F47112">
      <w:pPr>
        <w:pStyle w:val="Style2"/>
        <w:jc w:val="both"/>
      </w:pPr>
      <w:r>
        <w:t xml:space="preserve">The instructions in this policy apply to all GCE and GCSE specifications with one or more non-examination assessment components, as defined within </w:t>
      </w:r>
      <w:proofErr w:type="gramStart"/>
      <w:r>
        <w:t>the awarding body’s specification and which contribute to the main qualification grade</w:t>
      </w:r>
      <w:proofErr w:type="gramEnd"/>
      <w:r>
        <w:t xml:space="preserve">. </w:t>
      </w:r>
    </w:p>
    <w:p w14:paraId="34403F56" w14:textId="77777777" w:rsidR="00881DB6" w:rsidRDefault="00881DB6" w:rsidP="00881DB6">
      <w:pPr>
        <w:pStyle w:val="Style2"/>
        <w:numPr>
          <w:ilvl w:val="0"/>
          <w:numId w:val="0"/>
        </w:numPr>
        <w:ind w:left="792"/>
        <w:jc w:val="both"/>
      </w:pPr>
    </w:p>
    <w:p w14:paraId="5D384B8C" w14:textId="58A33E29" w:rsidR="00D47364" w:rsidRPr="004C487C" w:rsidRDefault="00655145" w:rsidP="004C487C">
      <w:pPr>
        <w:pStyle w:val="Heading10"/>
        <w:rPr>
          <w:b/>
          <w:sz w:val="28"/>
          <w:szCs w:val="28"/>
        </w:rPr>
      </w:pPr>
      <w:bookmarkStart w:id="13" w:name="_Managing_non-examination_assessment"/>
      <w:bookmarkStart w:id="14" w:name="_Task_setting"/>
      <w:bookmarkEnd w:id="13"/>
      <w:bookmarkEnd w:id="14"/>
      <w:r w:rsidRPr="00655145">
        <w:t xml:space="preserve"> </w:t>
      </w:r>
      <w:r w:rsidRPr="004C487C">
        <w:rPr>
          <w:b/>
          <w:sz w:val="28"/>
          <w:szCs w:val="28"/>
        </w:rPr>
        <w:t>Task setting</w:t>
      </w:r>
    </w:p>
    <w:p w14:paraId="7B3EE75C" w14:textId="2FC0938C" w:rsidR="007D2BAB" w:rsidRDefault="007D2BAB" w:rsidP="004947C1">
      <w:pPr>
        <w:pStyle w:val="Style2"/>
      </w:pPr>
      <w:r>
        <w:t xml:space="preserve">Where the awarding body is responsible for task </w:t>
      </w:r>
      <w:proofErr w:type="gramStart"/>
      <w:r>
        <w:t>setting, subject-specific tasks will be provided by the awarding body</w:t>
      </w:r>
      <w:proofErr w:type="gramEnd"/>
      <w:r>
        <w:t>.</w:t>
      </w:r>
    </w:p>
    <w:p w14:paraId="09E920E1" w14:textId="74F84F60" w:rsidR="007D2BAB" w:rsidRDefault="007D2BAB" w:rsidP="004947C1">
      <w:pPr>
        <w:pStyle w:val="Style2"/>
      </w:pPr>
      <w:r>
        <w:t xml:space="preserve">Where the </w:t>
      </w:r>
      <w:r w:rsidR="00226E4A">
        <w:t>school</w:t>
      </w:r>
      <w:r>
        <w:t xml:space="preserve"> is responsible for task setting, </w:t>
      </w:r>
      <w:r w:rsidR="001E3EEC">
        <w:t xml:space="preserve">the </w:t>
      </w:r>
      <w:r w:rsidR="00226E4A">
        <w:t>school</w:t>
      </w:r>
      <w:r>
        <w:t xml:space="preserve"> </w:t>
      </w:r>
      <w:r w:rsidR="00CE22EA">
        <w:t>will</w:t>
      </w:r>
      <w:r>
        <w:t xml:space="preserve">: </w:t>
      </w:r>
    </w:p>
    <w:p w14:paraId="3B06A249" w14:textId="25E9ED9C" w:rsidR="007D2BAB" w:rsidRDefault="007D2BAB" w:rsidP="004947C1">
      <w:pPr>
        <w:pStyle w:val="PolicyBullets"/>
      </w:pPr>
      <w:r>
        <w:t>Select from a number of comparable tasks provided by the awarding body</w:t>
      </w:r>
      <w:r w:rsidR="002F4216">
        <w:t>; or</w:t>
      </w:r>
    </w:p>
    <w:p w14:paraId="0D8980E8" w14:textId="69A3D62C" w:rsidR="002F4216" w:rsidRDefault="002F4216" w:rsidP="004947C1">
      <w:pPr>
        <w:pStyle w:val="PolicyBullets"/>
        <w:spacing w:after="240"/>
      </w:pPr>
      <w:r>
        <w:t xml:space="preserve">Design </w:t>
      </w:r>
      <w:r w:rsidR="001E3EEC">
        <w:t>our</w:t>
      </w:r>
      <w:r>
        <w:t xml:space="preserve"> own task(s), in conjunction with candidates where permitted, using criteria set out in </w:t>
      </w:r>
      <w:r w:rsidR="00B80981">
        <w:t xml:space="preserve">the relevant </w:t>
      </w:r>
      <w:r>
        <w:t>specification</w:t>
      </w:r>
      <w:r w:rsidR="00B80981">
        <w:t>s</w:t>
      </w:r>
      <w:r>
        <w:t xml:space="preserve">. </w:t>
      </w:r>
    </w:p>
    <w:p w14:paraId="1E65157F" w14:textId="2AC0BFBA" w:rsidR="002F4216" w:rsidRDefault="002F4216" w:rsidP="004947C1">
      <w:pPr>
        <w:pStyle w:val="Style2"/>
      </w:pPr>
      <w:r>
        <w:t xml:space="preserve">Where </w:t>
      </w:r>
      <w:r w:rsidR="001E3EEC">
        <w:t xml:space="preserve">the </w:t>
      </w:r>
      <w:r w:rsidR="00226E4A">
        <w:t>school</w:t>
      </w:r>
      <w:r>
        <w:t xml:space="preserve"> </w:t>
      </w:r>
      <w:r w:rsidR="001E3EEC">
        <w:t>is</w:t>
      </w:r>
      <w:r>
        <w:t xml:space="preserve"> responsible for task setting</w:t>
      </w:r>
      <w:r w:rsidR="001E3EEC">
        <w:t>,</w:t>
      </w:r>
      <w:r>
        <w:t xml:space="preserve"> </w:t>
      </w:r>
      <w:r w:rsidR="001E3EEC">
        <w:t>we</w:t>
      </w:r>
      <w:r>
        <w:t xml:space="preserve"> </w:t>
      </w:r>
      <w:r w:rsidR="00223AA7">
        <w:t>will</w:t>
      </w:r>
      <w:r>
        <w:t xml:space="preserve"> ensure that the assessment criteria, as detailed in the specification, </w:t>
      </w:r>
      <w:proofErr w:type="gramStart"/>
      <w:r w:rsidR="00CE22EA">
        <w:t>is</w:t>
      </w:r>
      <w:r>
        <w:t xml:space="preserve"> met</w:t>
      </w:r>
      <w:proofErr w:type="gramEnd"/>
      <w:r w:rsidR="002343C0">
        <w:t>,</w:t>
      </w:r>
      <w:r>
        <w:t xml:space="preserve"> and tasks are accessible to candidates. </w:t>
      </w:r>
      <w:r w:rsidR="001E3EEC">
        <w:t>The s</w:t>
      </w:r>
      <w:r w:rsidR="00226E4A">
        <w:t>chool</w:t>
      </w:r>
      <w:r>
        <w:t xml:space="preserve"> </w:t>
      </w:r>
      <w:r w:rsidR="00223AA7">
        <w:t>will</w:t>
      </w:r>
      <w:r>
        <w:t xml:space="preserve"> refer to the </w:t>
      </w:r>
      <w:r w:rsidR="00B80981">
        <w:t>awarding body’s</w:t>
      </w:r>
      <w:r>
        <w:t xml:space="preserve"> specification for clarification.</w:t>
      </w:r>
    </w:p>
    <w:p w14:paraId="10A4CC2F" w14:textId="1FCA996A" w:rsidR="002F4216" w:rsidRDefault="002F4216" w:rsidP="004947C1">
      <w:pPr>
        <w:pStyle w:val="Style2"/>
      </w:pPr>
      <w:r>
        <w:t xml:space="preserve">Candidates will be aware of the criteria used to assess their work. </w:t>
      </w:r>
    </w:p>
    <w:p w14:paraId="3A6C42D0" w14:textId="77777777" w:rsidR="00881DB6" w:rsidRDefault="00881DB6" w:rsidP="00881DB6">
      <w:pPr>
        <w:pStyle w:val="Style2"/>
        <w:numPr>
          <w:ilvl w:val="0"/>
          <w:numId w:val="0"/>
        </w:numPr>
        <w:ind w:left="792"/>
      </w:pPr>
    </w:p>
    <w:p w14:paraId="4B031551" w14:textId="15D523AF" w:rsidR="002F4216" w:rsidRPr="004947C1" w:rsidRDefault="002F4216" w:rsidP="004947C1">
      <w:pPr>
        <w:pStyle w:val="Style2"/>
        <w:numPr>
          <w:ilvl w:val="0"/>
          <w:numId w:val="0"/>
        </w:numPr>
        <w:jc w:val="both"/>
        <w:rPr>
          <w:b/>
        </w:rPr>
      </w:pPr>
      <w:r w:rsidRPr="004947C1">
        <w:rPr>
          <w:b/>
        </w:rPr>
        <w:t xml:space="preserve">Issuing of tasks: </w:t>
      </w:r>
    </w:p>
    <w:p w14:paraId="0BA716FC" w14:textId="363E19F9" w:rsidR="00B80981" w:rsidRDefault="00B80981" w:rsidP="004947C1">
      <w:pPr>
        <w:pStyle w:val="Style2"/>
      </w:pPr>
      <w:r w:rsidRPr="00881DB6">
        <w:t xml:space="preserve">Subject leaders </w:t>
      </w:r>
      <w:r>
        <w:t xml:space="preserve">will consult the relevant awarding body’s specification in order to obtain the date for the issuing of the tasks. Awarding bodies issue tasks well in advance to allow time for planning, resourcing and teaching in schools. </w:t>
      </w:r>
    </w:p>
    <w:p w14:paraId="61520AA9" w14:textId="1089E491" w:rsidR="00D47364" w:rsidRDefault="00B80981" w:rsidP="004947C1">
      <w:pPr>
        <w:pStyle w:val="Style2"/>
      </w:pPr>
      <w:r w:rsidRPr="00881DB6">
        <w:t>Subject leaders</w:t>
      </w:r>
      <w:r w:rsidR="00D47364" w:rsidRPr="00881DB6">
        <w:t xml:space="preserve"> </w:t>
      </w:r>
      <w:r w:rsidR="00223AA7">
        <w:t>will</w:t>
      </w:r>
      <w:r w:rsidR="00D47364">
        <w:t xml:space="preserve"> take care to distinguish between requirements/tasks for legacy specifications </w:t>
      </w:r>
      <w:r w:rsidR="004A062C">
        <w:t xml:space="preserve">and requirements/tasks for new specifications. </w:t>
      </w:r>
    </w:p>
    <w:p w14:paraId="3893C97B" w14:textId="664BEE17" w:rsidR="004A062C" w:rsidRDefault="004A062C" w:rsidP="004947C1">
      <w:pPr>
        <w:pStyle w:val="Style2"/>
      </w:pPr>
      <w:r w:rsidRPr="004A062C">
        <w:t>If the wrong task is issued to candidates</w:t>
      </w:r>
      <w:r>
        <w:t xml:space="preserve">, the </w:t>
      </w:r>
      <w:r w:rsidR="00226E4A">
        <w:t>school</w:t>
      </w:r>
      <w:r>
        <w:t xml:space="preserve"> </w:t>
      </w:r>
      <w:r w:rsidR="00223AA7">
        <w:t>will</w:t>
      </w:r>
      <w:r>
        <w:t xml:space="preserve"> </w:t>
      </w:r>
      <w:proofErr w:type="gramStart"/>
      <w:r>
        <w:t>make arrangements</w:t>
      </w:r>
      <w:proofErr w:type="gramEnd"/>
      <w:r>
        <w:t xml:space="preserve"> for candidates to undertake the correct tasks. Awarding bodies will do all that they can to protect candidates’ interests, but in some cases, it may not be possible to accept work based on the wrong task. </w:t>
      </w:r>
      <w:r w:rsidR="00F63416">
        <w:t>The s</w:t>
      </w:r>
      <w:r w:rsidR="00226E4A">
        <w:t>chool</w:t>
      </w:r>
      <w:r>
        <w:t xml:space="preserve"> </w:t>
      </w:r>
      <w:proofErr w:type="gramStart"/>
      <w:r w:rsidR="00CE22EA">
        <w:t>will</w:t>
      </w:r>
      <w:r w:rsidR="00F63416">
        <w:t>,</w:t>
      </w:r>
      <w:r>
        <w:t xml:space="preserve"> therefore, take</w:t>
      </w:r>
      <w:proofErr w:type="gramEnd"/>
      <w:r>
        <w:t xml:space="preserve"> great care to ensure that the correct task</w:t>
      </w:r>
      <w:r w:rsidR="00F63416">
        <w:t xml:space="preserve"> is issued</w:t>
      </w:r>
      <w:r>
        <w:t xml:space="preserve"> to candidates. </w:t>
      </w:r>
    </w:p>
    <w:p w14:paraId="09F9E1F8" w14:textId="525E9300" w:rsidR="00881DB6" w:rsidRDefault="00881DB6" w:rsidP="00881DB6">
      <w:pPr>
        <w:pStyle w:val="Style2"/>
        <w:numPr>
          <w:ilvl w:val="0"/>
          <w:numId w:val="0"/>
        </w:numPr>
        <w:ind w:left="792"/>
      </w:pPr>
    </w:p>
    <w:p w14:paraId="113A51C7" w14:textId="055FEC8E" w:rsidR="00881DB6" w:rsidRDefault="00881DB6" w:rsidP="00881DB6">
      <w:pPr>
        <w:pStyle w:val="Style2"/>
        <w:numPr>
          <w:ilvl w:val="0"/>
          <w:numId w:val="0"/>
        </w:numPr>
        <w:ind w:left="792"/>
      </w:pPr>
    </w:p>
    <w:p w14:paraId="4C02ABF9" w14:textId="1D8C45A1" w:rsidR="00881DB6" w:rsidRDefault="00881DB6" w:rsidP="00881DB6">
      <w:pPr>
        <w:pStyle w:val="Style2"/>
        <w:numPr>
          <w:ilvl w:val="0"/>
          <w:numId w:val="0"/>
        </w:numPr>
        <w:ind w:left="792"/>
      </w:pPr>
    </w:p>
    <w:p w14:paraId="2957E09F" w14:textId="77777777" w:rsidR="00881DB6" w:rsidRDefault="00881DB6" w:rsidP="00881DB6">
      <w:pPr>
        <w:pStyle w:val="Style2"/>
        <w:numPr>
          <w:ilvl w:val="0"/>
          <w:numId w:val="0"/>
        </w:numPr>
        <w:ind w:left="792"/>
      </w:pPr>
    </w:p>
    <w:p w14:paraId="4F2D9D9A" w14:textId="30B56F12" w:rsidR="007D2BAB" w:rsidRDefault="00A82AD1" w:rsidP="00F47112">
      <w:pPr>
        <w:pStyle w:val="Heading10"/>
        <w:jc w:val="both"/>
        <w:rPr>
          <w:b/>
          <w:sz w:val="28"/>
        </w:rPr>
      </w:pPr>
      <w:bookmarkStart w:id="15" w:name="_Managing_non-examination_assessment_1"/>
      <w:bookmarkStart w:id="16" w:name="_Task_taking"/>
      <w:bookmarkEnd w:id="15"/>
      <w:bookmarkEnd w:id="16"/>
      <w:r>
        <w:rPr>
          <w:b/>
          <w:sz w:val="28"/>
        </w:rPr>
        <w:t>T</w:t>
      </w:r>
      <w:r w:rsidR="002F4216" w:rsidRPr="002F4216">
        <w:rPr>
          <w:b/>
          <w:sz w:val="28"/>
        </w:rPr>
        <w:t>ask taking</w:t>
      </w:r>
    </w:p>
    <w:p w14:paraId="3096E332" w14:textId="061BBDCD" w:rsidR="002F4216" w:rsidRPr="004947C1" w:rsidRDefault="002F4216" w:rsidP="004947C1">
      <w:pPr>
        <w:pStyle w:val="Style2"/>
        <w:numPr>
          <w:ilvl w:val="0"/>
          <w:numId w:val="0"/>
        </w:numPr>
        <w:jc w:val="both"/>
        <w:rPr>
          <w:b/>
        </w:rPr>
      </w:pPr>
      <w:r w:rsidRPr="004947C1">
        <w:rPr>
          <w:b/>
        </w:rPr>
        <w:t>Supervision:</w:t>
      </w:r>
    </w:p>
    <w:p w14:paraId="714D1732" w14:textId="748CF4D9" w:rsidR="005C3125" w:rsidRDefault="005C3125" w:rsidP="004947C1">
      <w:pPr>
        <w:pStyle w:val="Style2"/>
      </w:pPr>
      <w:r>
        <w:t>Where appropriate to the component being assessed, the following arrangements apply unless the awarding body’s specification states otherwise</w:t>
      </w:r>
      <w:r w:rsidR="00AF0DA5">
        <w:t>:</w:t>
      </w:r>
      <w:r>
        <w:t xml:space="preserve"> </w:t>
      </w:r>
    </w:p>
    <w:p w14:paraId="7830CE90" w14:textId="3A3EF835" w:rsidR="005C3125" w:rsidRDefault="005C3125" w:rsidP="004947C1">
      <w:pPr>
        <w:pStyle w:val="PolicyBullets"/>
      </w:pPr>
      <w:r>
        <w:t xml:space="preserve">Invigilators and the display of JCQ ‘No Mobile Phone’ posters and the JCQ ‘Warning to Candidates’ are not required. </w:t>
      </w:r>
    </w:p>
    <w:p w14:paraId="1CC4CDF7" w14:textId="4D9A28BE" w:rsidR="005C3125" w:rsidRDefault="005C3125" w:rsidP="004947C1">
      <w:pPr>
        <w:pStyle w:val="PolicyBullets"/>
      </w:pPr>
      <w:r>
        <w:t xml:space="preserve">Candidates do not need to </w:t>
      </w:r>
      <w:proofErr w:type="gramStart"/>
      <w:r>
        <w:t>be directly supervised</w:t>
      </w:r>
      <w:proofErr w:type="gramEnd"/>
      <w:r>
        <w:t xml:space="preserve"> at all times. The use of resources, including the internet, </w:t>
      </w:r>
      <w:proofErr w:type="gramStart"/>
      <w:r>
        <w:t>is not tightly prescribed</w:t>
      </w:r>
      <w:proofErr w:type="gramEnd"/>
      <w:r>
        <w:t xml:space="preserve">. </w:t>
      </w:r>
      <w:r w:rsidR="00F63416">
        <w:t>The s</w:t>
      </w:r>
      <w:r w:rsidR="00226E4A">
        <w:t>chool</w:t>
      </w:r>
      <w:r>
        <w:t xml:space="preserve"> </w:t>
      </w:r>
      <w:r w:rsidR="00223AA7">
        <w:t>will</w:t>
      </w:r>
      <w:r>
        <w:t xml:space="preserve"> always check the subject-specific requirements issued by the awarding body. </w:t>
      </w:r>
    </w:p>
    <w:p w14:paraId="06CFC188" w14:textId="63BFCD01" w:rsidR="005C3125" w:rsidRDefault="005C3125" w:rsidP="00F47112">
      <w:pPr>
        <w:pStyle w:val="PolicyBullets"/>
        <w:jc w:val="both"/>
      </w:pPr>
      <w:r>
        <w:t xml:space="preserve">The </w:t>
      </w:r>
      <w:r w:rsidR="00226E4A">
        <w:t>school</w:t>
      </w:r>
      <w:r>
        <w:t xml:space="preserve"> </w:t>
      </w:r>
      <w:r w:rsidR="00223AA7">
        <w:t>will</w:t>
      </w:r>
      <w:r>
        <w:t xml:space="preserve"> ensure that:</w:t>
      </w:r>
    </w:p>
    <w:p w14:paraId="13E146AF" w14:textId="5C4D6392" w:rsidR="005C3125" w:rsidRDefault="005C3125" w:rsidP="001C59CD">
      <w:pPr>
        <w:pStyle w:val="PolicyBullets"/>
        <w:numPr>
          <w:ilvl w:val="1"/>
          <w:numId w:val="6"/>
        </w:numPr>
        <w:jc w:val="both"/>
      </w:pPr>
      <w:r>
        <w:t xml:space="preserve">There is sufficient supervision of every candidate to enable work to </w:t>
      </w:r>
      <w:proofErr w:type="gramStart"/>
      <w:r>
        <w:t>be authenticated</w:t>
      </w:r>
      <w:proofErr w:type="gramEnd"/>
      <w:r>
        <w:t xml:space="preserve">. </w:t>
      </w:r>
    </w:p>
    <w:p w14:paraId="1FF1C8A9" w14:textId="17E169F6" w:rsidR="005C3125" w:rsidRDefault="005C3125" w:rsidP="001C59CD">
      <w:pPr>
        <w:pStyle w:val="PolicyBullets"/>
        <w:numPr>
          <w:ilvl w:val="1"/>
          <w:numId w:val="6"/>
        </w:numPr>
        <w:spacing w:after="240"/>
        <w:jc w:val="both"/>
      </w:pPr>
      <w:r>
        <w:t xml:space="preserve">The work that an individual candidate submits for assessment is their own. </w:t>
      </w:r>
    </w:p>
    <w:p w14:paraId="3DAAD324" w14:textId="4236EF25" w:rsidR="005C3125" w:rsidRDefault="005C3125" w:rsidP="004947C1">
      <w:pPr>
        <w:pStyle w:val="Style2"/>
      </w:pPr>
      <w:r>
        <w:t xml:space="preserve">Work may be completed outside of the </w:t>
      </w:r>
      <w:r w:rsidR="00226E4A">
        <w:t>school</w:t>
      </w:r>
      <w:r>
        <w:t xml:space="preserve"> without direct supervision, </w:t>
      </w:r>
      <w:proofErr w:type="gramStart"/>
      <w:r>
        <w:t>provided that</w:t>
      </w:r>
      <w:proofErr w:type="gramEnd"/>
      <w:r>
        <w:t xml:space="preserve"> the </w:t>
      </w:r>
      <w:r w:rsidR="00226E4A">
        <w:t>school</w:t>
      </w:r>
      <w:r>
        <w:t xml:space="preserve"> is confident that the work produced is the candidate’s own. </w:t>
      </w:r>
      <w:r w:rsidR="00C61F91">
        <w:t>U</w:t>
      </w:r>
      <w:r>
        <w:t>nless stated otherwise by the awarding body</w:t>
      </w:r>
      <w:r w:rsidR="00C61F91">
        <w:t>,</w:t>
      </w:r>
      <w:r w:rsidR="00C61F91" w:rsidRPr="00C61F91">
        <w:t xml:space="preserve"> </w:t>
      </w:r>
      <w:r w:rsidR="00C61F91">
        <w:t>candidates will normally</w:t>
      </w:r>
      <w:r>
        <w:t xml:space="preserve">: </w:t>
      </w:r>
    </w:p>
    <w:p w14:paraId="3D8B5439" w14:textId="27476DCE" w:rsidR="00C61F91" w:rsidRDefault="00C61F91" w:rsidP="004947C1">
      <w:pPr>
        <w:pStyle w:val="PolicyBullets"/>
      </w:pPr>
      <w:r>
        <w:t xml:space="preserve">Have unlimited access to electronic and printed resources. </w:t>
      </w:r>
    </w:p>
    <w:p w14:paraId="7A4C4F80" w14:textId="36AD1FC3" w:rsidR="00C61F91" w:rsidRDefault="00C61F91" w:rsidP="004947C1">
      <w:pPr>
        <w:pStyle w:val="PolicyBullets"/>
      </w:pPr>
      <w:r>
        <w:t xml:space="preserve">Use the internet without restriction. </w:t>
      </w:r>
    </w:p>
    <w:p w14:paraId="2AA83DDA" w14:textId="50310191" w:rsidR="00C61F91" w:rsidRDefault="00C61F91" w:rsidP="004947C1">
      <w:pPr>
        <w:pStyle w:val="PolicyBullets"/>
        <w:spacing w:after="240"/>
      </w:pPr>
      <w:r>
        <w:t xml:space="preserve">Work in groups. </w:t>
      </w:r>
    </w:p>
    <w:p w14:paraId="0315FDF5" w14:textId="078BE76A" w:rsidR="00C61F91" w:rsidRDefault="00C61F91" w:rsidP="004947C1">
      <w:pPr>
        <w:pStyle w:val="Style2"/>
      </w:pPr>
      <w:r>
        <w:t xml:space="preserve">Where candidates work in groups, </w:t>
      </w:r>
      <w:r w:rsidRPr="00881DB6">
        <w:rPr>
          <w:rFonts w:cstheme="minorBidi"/>
        </w:rPr>
        <w:t>the teacher</w:t>
      </w:r>
      <w:r w:rsidRPr="00C61F91">
        <w:rPr>
          <w:color w:val="FFD006"/>
        </w:rPr>
        <w:t xml:space="preserve"> </w:t>
      </w:r>
      <w:r>
        <w:t xml:space="preserve">should keep a record of each candidate’s contribution. </w:t>
      </w:r>
    </w:p>
    <w:p w14:paraId="1D398FE6" w14:textId="24EDE725" w:rsidR="00C61F91" w:rsidRDefault="00BB467B" w:rsidP="004947C1">
      <w:pPr>
        <w:pStyle w:val="Style2"/>
      </w:pPr>
      <w:r>
        <w:t>The s</w:t>
      </w:r>
      <w:r w:rsidR="00226E4A">
        <w:t>chool</w:t>
      </w:r>
      <w:r w:rsidR="00C61F91">
        <w:t xml:space="preserve"> </w:t>
      </w:r>
      <w:r w:rsidR="00223AA7">
        <w:t>will</w:t>
      </w:r>
      <w:r w:rsidR="00C61F91">
        <w:t xml:space="preserve"> </w:t>
      </w:r>
      <w:r w:rsidR="004935A2">
        <w:t xml:space="preserve">ensure that candidates understand what they need to do to comply with the regulations for non-examination assessments as outlined in the JCQ document </w:t>
      </w:r>
      <w:hyperlink r:id="rId9" w:history="1">
        <w:r w:rsidR="004935A2" w:rsidRPr="004935A2">
          <w:rPr>
            <w:rStyle w:val="Hyperlink"/>
          </w:rPr>
          <w:t>Information for candidates – non-examination assessments</w:t>
        </w:r>
      </w:hyperlink>
      <w:r w:rsidR="004935A2">
        <w:t xml:space="preserve">. </w:t>
      </w:r>
    </w:p>
    <w:p w14:paraId="62DA9EC8" w14:textId="27368A3D" w:rsidR="004935A2" w:rsidRDefault="00AA072A" w:rsidP="004947C1">
      <w:pPr>
        <w:pStyle w:val="Style2"/>
      </w:pPr>
      <w:r>
        <w:t>T</w:t>
      </w:r>
      <w:r w:rsidR="00BB467B">
        <w:t xml:space="preserve">he </w:t>
      </w:r>
      <w:r w:rsidR="00226E4A">
        <w:t>school</w:t>
      </w:r>
      <w:r w:rsidR="004935A2">
        <w:t xml:space="preserve"> </w:t>
      </w:r>
      <w:r w:rsidR="00223AA7">
        <w:t>will</w:t>
      </w:r>
      <w:r w:rsidR="004935A2">
        <w:t xml:space="preserve"> ensure that candidates: </w:t>
      </w:r>
    </w:p>
    <w:p w14:paraId="2BB9EEE6" w14:textId="0C61E483" w:rsidR="004935A2" w:rsidRDefault="004935A2" w:rsidP="004947C1">
      <w:pPr>
        <w:pStyle w:val="PolicyBullets"/>
      </w:pPr>
      <w:r>
        <w:t xml:space="preserve">Understand that information from published sources </w:t>
      </w:r>
      <w:proofErr w:type="gramStart"/>
      <w:r w:rsidR="00223AA7">
        <w:t>will</w:t>
      </w:r>
      <w:r>
        <w:t xml:space="preserve"> be referenced</w:t>
      </w:r>
      <w:proofErr w:type="gramEnd"/>
      <w:r w:rsidR="00BB467B">
        <w:t>.</w:t>
      </w:r>
      <w:r>
        <w:t xml:space="preserve"> </w:t>
      </w:r>
    </w:p>
    <w:p w14:paraId="182AAEAD" w14:textId="7E6B6C9F" w:rsidR="004935A2" w:rsidRDefault="004935A2" w:rsidP="004947C1">
      <w:pPr>
        <w:pStyle w:val="PolicyBullets"/>
      </w:pPr>
      <w:r>
        <w:t xml:space="preserve">Receive guidance on setting out references. </w:t>
      </w:r>
    </w:p>
    <w:p w14:paraId="7B32E904" w14:textId="33C17742" w:rsidR="004935A2" w:rsidRDefault="004935A2" w:rsidP="004947C1">
      <w:pPr>
        <w:pStyle w:val="PolicyBullets"/>
        <w:spacing w:after="120"/>
        <w:contextualSpacing w:val="0"/>
      </w:pPr>
      <w:r>
        <w:t xml:space="preserve">Are aware that they </w:t>
      </w:r>
      <w:r w:rsidR="00223AA7">
        <w:t>will</w:t>
      </w:r>
      <w:r>
        <w:t xml:space="preserve"> not plagiarise other material. </w:t>
      </w:r>
    </w:p>
    <w:p w14:paraId="7A331C66" w14:textId="201A049C" w:rsidR="004935A2" w:rsidRPr="004947C1" w:rsidRDefault="004935A2" w:rsidP="004947C1">
      <w:pPr>
        <w:pStyle w:val="Style2"/>
        <w:numPr>
          <w:ilvl w:val="0"/>
          <w:numId w:val="0"/>
        </w:numPr>
        <w:jc w:val="both"/>
        <w:rPr>
          <w:b/>
        </w:rPr>
      </w:pPr>
      <w:r w:rsidRPr="004947C1">
        <w:rPr>
          <w:b/>
        </w:rPr>
        <w:t xml:space="preserve">Advice and feedback:  </w:t>
      </w:r>
    </w:p>
    <w:p w14:paraId="212F8D78" w14:textId="725527F2" w:rsidR="004935A2" w:rsidRDefault="004935A2" w:rsidP="004C487C">
      <w:pPr>
        <w:pStyle w:val="Style2"/>
      </w:pPr>
      <w:r>
        <w:t xml:space="preserve">As appropriate to the subject and component, </w:t>
      </w:r>
      <w:r w:rsidR="00BB467B">
        <w:t xml:space="preserve">the </w:t>
      </w:r>
      <w:r w:rsidR="00226E4A">
        <w:t>school</w:t>
      </w:r>
      <w:r>
        <w:t xml:space="preserve"> will advise candidates on aspects such as, but not limited to, those listed below before work begins:</w:t>
      </w:r>
    </w:p>
    <w:p w14:paraId="1109C2A1" w14:textId="6277F31B" w:rsidR="00EB5683" w:rsidRDefault="00D31485" w:rsidP="001C59CD">
      <w:pPr>
        <w:pStyle w:val="PolicyBullets"/>
        <w:numPr>
          <w:ilvl w:val="1"/>
          <w:numId w:val="6"/>
        </w:numPr>
        <w:jc w:val="both"/>
      </w:pPr>
      <w:r>
        <w:t>Sources of information</w:t>
      </w:r>
    </w:p>
    <w:p w14:paraId="0CE73E91" w14:textId="31422C7F" w:rsidR="00D31485" w:rsidRDefault="00D31485" w:rsidP="001C59CD">
      <w:pPr>
        <w:pStyle w:val="PolicyBullets"/>
        <w:numPr>
          <w:ilvl w:val="1"/>
          <w:numId w:val="6"/>
        </w:numPr>
        <w:jc w:val="both"/>
      </w:pPr>
      <w:r>
        <w:t>Relevance of materials/concepts</w:t>
      </w:r>
    </w:p>
    <w:p w14:paraId="78C2330D" w14:textId="4076606E" w:rsidR="00D31485" w:rsidRDefault="00D31485" w:rsidP="001C59CD">
      <w:pPr>
        <w:pStyle w:val="PolicyBullets"/>
        <w:numPr>
          <w:ilvl w:val="1"/>
          <w:numId w:val="6"/>
        </w:numPr>
        <w:jc w:val="both"/>
      </w:pPr>
      <w:r>
        <w:t>Structure of the response</w:t>
      </w:r>
    </w:p>
    <w:p w14:paraId="3782B1A6" w14:textId="3181AD18" w:rsidR="00D31485" w:rsidRDefault="00D722F5" w:rsidP="001C59CD">
      <w:pPr>
        <w:pStyle w:val="PolicyBullets"/>
        <w:numPr>
          <w:ilvl w:val="1"/>
          <w:numId w:val="6"/>
        </w:numPr>
        <w:jc w:val="both"/>
      </w:pPr>
      <w:r>
        <w:t>Techniques of data collection</w:t>
      </w:r>
    </w:p>
    <w:p w14:paraId="6B038715" w14:textId="53ABF59E" w:rsidR="00D722F5" w:rsidRDefault="00D722F5" w:rsidP="001C59CD">
      <w:pPr>
        <w:pStyle w:val="PolicyBullets"/>
        <w:numPr>
          <w:ilvl w:val="1"/>
          <w:numId w:val="6"/>
        </w:numPr>
        <w:jc w:val="both"/>
      </w:pPr>
      <w:r>
        <w:t>Techniques of data presentation</w:t>
      </w:r>
    </w:p>
    <w:p w14:paraId="711AF18A" w14:textId="14E591F4" w:rsidR="00D722F5" w:rsidRDefault="00D722F5" w:rsidP="001C59CD">
      <w:pPr>
        <w:pStyle w:val="PolicyBullets"/>
        <w:numPr>
          <w:ilvl w:val="1"/>
          <w:numId w:val="6"/>
        </w:numPr>
        <w:jc w:val="both"/>
      </w:pPr>
      <w:r>
        <w:t>Skills of analysis and evaluation</w:t>
      </w:r>
    </w:p>
    <w:p w14:paraId="0F7D0283" w14:textId="32D2E50B" w:rsidR="00D722F5" w:rsidRDefault="00D722F5" w:rsidP="001C59CD">
      <w:pPr>
        <w:pStyle w:val="PolicyBullets"/>
        <w:numPr>
          <w:ilvl w:val="1"/>
          <w:numId w:val="6"/>
        </w:numPr>
        <w:jc w:val="both"/>
      </w:pPr>
      <w:r>
        <w:t xml:space="preserve">Health and safety considerations, </w:t>
      </w:r>
      <w:r w:rsidR="00BB467B">
        <w:t>e.g.</w:t>
      </w:r>
      <w:r>
        <w:t xml:space="preserve"> when using equipment</w:t>
      </w:r>
      <w:r w:rsidR="00690DAB">
        <w:t xml:space="preserve"> such as computers</w:t>
      </w:r>
    </w:p>
    <w:p w14:paraId="3049AB30" w14:textId="38D7A24B" w:rsidR="00D722F5" w:rsidRDefault="00D722F5" w:rsidP="001C59CD">
      <w:pPr>
        <w:pStyle w:val="PolicyBullets"/>
        <w:numPr>
          <w:ilvl w:val="1"/>
          <w:numId w:val="6"/>
        </w:numPr>
        <w:jc w:val="both"/>
      </w:pPr>
      <w:r>
        <w:t>Potential ethical considerations</w:t>
      </w:r>
    </w:p>
    <w:p w14:paraId="6CD35E52" w14:textId="3A9B4B04" w:rsidR="00D722F5" w:rsidRDefault="00D722F5" w:rsidP="001C59CD">
      <w:pPr>
        <w:pStyle w:val="PolicyBullets"/>
        <w:numPr>
          <w:ilvl w:val="1"/>
          <w:numId w:val="6"/>
        </w:numPr>
        <w:spacing w:after="120"/>
        <w:ind w:left="2642" w:hanging="357"/>
        <w:contextualSpacing w:val="0"/>
        <w:jc w:val="both"/>
      </w:pPr>
      <w:r>
        <w:t>The security of their work</w:t>
      </w:r>
    </w:p>
    <w:p w14:paraId="67A689BC" w14:textId="6C2079AC" w:rsidR="00D722F5" w:rsidRDefault="00BB467B" w:rsidP="004C487C">
      <w:pPr>
        <w:pStyle w:val="Style2"/>
      </w:pPr>
      <w:r>
        <w:t>The s</w:t>
      </w:r>
      <w:r w:rsidR="00226E4A">
        <w:t>chool</w:t>
      </w:r>
      <w:r w:rsidR="00D722F5">
        <w:t xml:space="preserve"> </w:t>
      </w:r>
      <w:r w:rsidR="00223AA7">
        <w:t>will</w:t>
      </w:r>
      <w:r w:rsidR="00D722F5">
        <w:t xml:space="preserve"> not provide model answers or writing frames </w:t>
      </w:r>
      <w:r>
        <w:t>for</w:t>
      </w:r>
      <w:r w:rsidR="00D722F5">
        <w:t xml:space="preserve"> a specific task</w:t>
      </w:r>
      <w:r w:rsidR="00732981">
        <w:t xml:space="preserve">. </w:t>
      </w:r>
    </w:p>
    <w:p w14:paraId="02150F7C" w14:textId="7FECCB83" w:rsidR="00732981" w:rsidRDefault="00732981" w:rsidP="004C487C">
      <w:pPr>
        <w:pStyle w:val="Style2"/>
      </w:pPr>
      <w:r>
        <w:t>Unless specifically prohibited by the awarding body’s specification</w:t>
      </w:r>
      <w:r w:rsidR="00BB467B" w:rsidRPr="00881DB6">
        <w:rPr>
          <w:rFonts w:cstheme="minorBidi"/>
        </w:rPr>
        <w:t>,</w:t>
      </w:r>
      <w:r w:rsidRPr="00881DB6">
        <w:rPr>
          <w:rFonts w:cstheme="minorBidi"/>
        </w:rPr>
        <w:t xml:space="preserve"> </w:t>
      </w:r>
      <w:r w:rsidR="00C804B5" w:rsidRPr="00881DB6">
        <w:rPr>
          <w:rFonts w:cstheme="minorBidi"/>
        </w:rPr>
        <w:t>teaching staff</w:t>
      </w:r>
      <w:r w:rsidRPr="004947C1">
        <w:rPr>
          <w:color w:val="FFD006"/>
        </w:rPr>
        <w:t xml:space="preserve"> </w:t>
      </w:r>
      <w:r>
        <w:t xml:space="preserve">may: </w:t>
      </w:r>
    </w:p>
    <w:p w14:paraId="2FE70D93" w14:textId="5C5010FA" w:rsidR="00732981" w:rsidRDefault="00732981" w:rsidP="001C59CD">
      <w:pPr>
        <w:pStyle w:val="PolicyBullets"/>
        <w:numPr>
          <w:ilvl w:val="1"/>
          <w:numId w:val="6"/>
        </w:numPr>
        <w:jc w:val="both"/>
      </w:pPr>
      <w:r>
        <w:t>Review candidates’ work and provide oral and written advice at a general level.</w:t>
      </w:r>
    </w:p>
    <w:p w14:paraId="06A81E7E" w14:textId="7862DD56" w:rsidR="00732981" w:rsidRDefault="00732981" w:rsidP="001C59CD">
      <w:pPr>
        <w:pStyle w:val="PolicyBullets"/>
        <w:numPr>
          <w:ilvl w:val="1"/>
          <w:numId w:val="6"/>
        </w:numPr>
        <w:jc w:val="both"/>
      </w:pPr>
      <w:r>
        <w:t>Having provided advice at a general level, all</w:t>
      </w:r>
      <w:r w:rsidR="00690DAB">
        <w:t>ow</w:t>
      </w:r>
      <w:r>
        <w:t xml:space="preserve"> candidates to revise and re-draft work.</w:t>
      </w:r>
    </w:p>
    <w:p w14:paraId="32EDC8B2" w14:textId="33343FDB" w:rsidR="00732981" w:rsidRDefault="00732981" w:rsidP="004C487C">
      <w:pPr>
        <w:pStyle w:val="Style2"/>
      </w:pPr>
      <w:r>
        <w:t xml:space="preserve">General advice </w:t>
      </w:r>
      <w:proofErr w:type="gramStart"/>
      <w:r w:rsidR="009F3F21">
        <w:t>will not</w:t>
      </w:r>
      <w:r>
        <w:t xml:space="preserve"> be recorded or taken into account when marking work</w:t>
      </w:r>
      <w:proofErr w:type="gramEnd"/>
      <w:r>
        <w:t xml:space="preserve">. </w:t>
      </w:r>
    </w:p>
    <w:p w14:paraId="78416F6B" w14:textId="7EC7541F" w:rsidR="00732981" w:rsidRDefault="00732981" w:rsidP="004C487C">
      <w:pPr>
        <w:pStyle w:val="Style2"/>
      </w:pPr>
      <w:r>
        <w:t>Advice that goes beyond general advice</w:t>
      </w:r>
      <w:r w:rsidR="009F3F21">
        <w:t xml:space="preserve"> includes, but is not limited to</w:t>
      </w:r>
      <w:r w:rsidR="00C804B5">
        <w:t>, the following</w:t>
      </w:r>
      <w:r>
        <w:t xml:space="preserve">: </w:t>
      </w:r>
    </w:p>
    <w:p w14:paraId="3DB8AA7E" w14:textId="720AB946" w:rsidR="00732981" w:rsidRDefault="009F3F21" w:rsidP="001C59CD">
      <w:pPr>
        <w:pStyle w:val="PolicyBullets"/>
        <w:numPr>
          <w:ilvl w:val="1"/>
          <w:numId w:val="6"/>
        </w:numPr>
        <w:jc w:val="both"/>
      </w:pPr>
      <w:r>
        <w:t xml:space="preserve">Providing </w:t>
      </w:r>
      <w:r w:rsidR="00732981">
        <w:t>detailed specific advice on how to improve drafts to meet the assessment criteria.</w:t>
      </w:r>
    </w:p>
    <w:p w14:paraId="24FADB50" w14:textId="3CF9F0F8" w:rsidR="00732981" w:rsidRDefault="00732981" w:rsidP="001C59CD">
      <w:pPr>
        <w:pStyle w:val="PolicyBullets"/>
        <w:numPr>
          <w:ilvl w:val="1"/>
          <w:numId w:val="6"/>
        </w:numPr>
        <w:jc w:val="both"/>
      </w:pPr>
      <w:r>
        <w:t>Giv</w:t>
      </w:r>
      <w:r w:rsidR="009F3F21">
        <w:t>ing</w:t>
      </w:r>
      <w:r>
        <w:t xml:space="preserve"> detailed feedback on errors or </w:t>
      </w:r>
      <w:proofErr w:type="gramStart"/>
      <w:r>
        <w:t>omissions which</w:t>
      </w:r>
      <w:proofErr w:type="gramEnd"/>
      <w:r>
        <w:t xml:space="preserve"> limits candidates’ opportunities to show initiative. </w:t>
      </w:r>
    </w:p>
    <w:p w14:paraId="12ADF618" w14:textId="7C1B23BF" w:rsidR="00732981" w:rsidRDefault="00732981" w:rsidP="001C59CD">
      <w:pPr>
        <w:pStyle w:val="PolicyBullets"/>
        <w:numPr>
          <w:ilvl w:val="1"/>
          <w:numId w:val="6"/>
        </w:numPr>
        <w:spacing w:after="120"/>
        <w:ind w:left="2642" w:hanging="357"/>
        <w:contextualSpacing w:val="0"/>
        <w:jc w:val="both"/>
      </w:pPr>
      <w:r>
        <w:t>Interven</w:t>
      </w:r>
      <w:r w:rsidR="009F3F21">
        <w:t>ing</w:t>
      </w:r>
      <w:r>
        <w:t xml:space="preserve"> personally to improve the presentation or content of work.</w:t>
      </w:r>
    </w:p>
    <w:p w14:paraId="7C0DB0F2" w14:textId="6D06558F" w:rsidR="00732981" w:rsidRPr="00881DB6" w:rsidRDefault="00732981" w:rsidP="004947C1">
      <w:pPr>
        <w:pStyle w:val="Style2"/>
        <w:rPr>
          <w:rFonts w:cstheme="minorBidi"/>
        </w:rPr>
      </w:pPr>
      <w:r w:rsidRPr="00881DB6">
        <w:rPr>
          <w:rFonts w:cstheme="minorBidi"/>
        </w:rPr>
        <w:t xml:space="preserve">If </w:t>
      </w:r>
      <w:r w:rsidR="00C804B5" w:rsidRPr="00881DB6">
        <w:rPr>
          <w:rFonts w:cstheme="minorBidi"/>
        </w:rPr>
        <w:t>teaching staff</w:t>
      </w:r>
      <w:r w:rsidRPr="00881DB6">
        <w:rPr>
          <w:rFonts w:cstheme="minorBidi"/>
        </w:rPr>
        <w:t xml:space="preserve"> give advice that goes beyond general advice</w:t>
      </w:r>
      <w:r w:rsidR="0094413C" w:rsidRPr="00881DB6">
        <w:rPr>
          <w:rFonts w:cstheme="minorBidi"/>
        </w:rPr>
        <w:t>, then they</w:t>
      </w:r>
      <w:r w:rsidRPr="00881DB6">
        <w:rPr>
          <w:rFonts w:cstheme="minorBidi"/>
        </w:rPr>
        <w:t xml:space="preserve"> </w:t>
      </w:r>
      <w:r w:rsidR="00223AA7" w:rsidRPr="00881DB6">
        <w:rPr>
          <w:rFonts w:cstheme="minorBidi"/>
        </w:rPr>
        <w:t>will</w:t>
      </w:r>
      <w:r w:rsidRPr="00881DB6">
        <w:rPr>
          <w:rFonts w:cstheme="minorBidi"/>
        </w:rPr>
        <w:t xml:space="preserve"> record this assistance and </w:t>
      </w:r>
      <w:proofErr w:type="gramStart"/>
      <w:r w:rsidRPr="00881DB6">
        <w:rPr>
          <w:rFonts w:cstheme="minorBidi"/>
        </w:rPr>
        <w:t>either take it into</w:t>
      </w:r>
      <w:proofErr w:type="gramEnd"/>
      <w:r w:rsidRPr="00881DB6">
        <w:rPr>
          <w:rFonts w:cstheme="minorBidi"/>
        </w:rPr>
        <w:t xml:space="preserve"> account when marking the work or submit it to an external examiner. </w:t>
      </w:r>
    </w:p>
    <w:p w14:paraId="27F1ADAF" w14:textId="5DAE56EF" w:rsidR="00732981" w:rsidRPr="00881DB6" w:rsidRDefault="00732981" w:rsidP="004947C1">
      <w:pPr>
        <w:pStyle w:val="Style2"/>
        <w:rPr>
          <w:rFonts w:cstheme="minorBidi"/>
        </w:rPr>
      </w:pPr>
      <w:r w:rsidRPr="00881DB6">
        <w:rPr>
          <w:rFonts w:cstheme="minorBidi"/>
        </w:rPr>
        <w:t xml:space="preserve">Annotations </w:t>
      </w:r>
      <w:proofErr w:type="gramStart"/>
      <w:r w:rsidR="009F3F21" w:rsidRPr="00881DB6">
        <w:rPr>
          <w:rFonts w:cstheme="minorBidi"/>
        </w:rPr>
        <w:t xml:space="preserve">will </w:t>
      </w:r>
      <w:r w:rsidRPr="00881DB6">
        <w:rPr>
          <w:rFonts w:cstheme="minorBidi"/>
        </w:rPr>
        <w:t>be used</w:t>
      </w:r>
      <w:proofErr w:type="gramEnd"/>
      <w:r w:rsidRPr="00881DB6">
        <w:rPr>
          <w:rFonts w:cstheme="minorBidi"/>
        </w:rPr>
        <w:t xml:space="preserve"> to explain how marks were applied in the context of the additional assistance give</w:t>
      </w:r>
      <w:r w:rsidR="009F3F21" w:rsidRPr="00881DB6">
        <w:rPr>
          <w:rFonts w:cstheme="minorBidi"/>
        </w:rPr>
        <w:t>n</w:t>
      </w:r>
      <w:r w:rsidRPr="00881DB6">
        <w:rPr>
          <w:rFonts w:cstheme="minorBidi"/>
        </w:rPr>
        <w:t xml:space="preserve">. </w:t>
      </w:r>
    </w:p>
    <w:p w14:paraId="0DCEACF4" w14:textId="4518378A" w:rsidR="00732981" w:rsidRPr="00881DB6" w:rsidRDefault="00C804B5" w:rsidP="004947C1">
      <w:pPr>
        <w:pStyle w:val="Style2"/>
        <w:rPr>
          <w:rFonts w:cstheme="minorBidi"/>
        </w:rPr>
      </w:pPr>
      <w:r w:rsidRPr="00881DB6">
        <w:rPr>
          <w:rFonts w:cstheme="minorBidi"/>
        </w:rPr>
        <w:t>Teaching staff</w:t>
      </w:r>
      <w:r w:rsidR="00732981" w:rsidRPr="00881DB6">
        <w:rPr>
          <w:rFonts w:cstheme="minorBidi"/>
        </w:rPr>
        <w:t xml:space="preserve"> </w:t>
      </w:r>
      <w:r w:rsidR="00223AA7" w:rsidRPr="00881DB6">
        <w:rPr>
          <w:rFonts w:cstheme="minorBidi"/>
        </w:rPr>
        <w:t>will</w:t>
      </w:r>
      <w:r w:rsidR="00732981" w:rsidRPr="00881DB6">
        <w:rPr>
          <w:rFonts w:cstheme="minorBidi"/>
        </w:rPr>
        <w:t xml:space="preserve"> not provisionally assess work and then allow the candidate to revise it. </w:t>
      </w:r>
    </w:p>
    <w:p w14:paraId="50B7AC83" w14:textId="17A417AE" w:rsidR="00732981" w:rsidRDefault="00C804B5" w:rsidP="00F47112">
      <w:pPr>
        <w:pStyle w:val="PolicyBullets"/>
        <w:jc w:val="both"/>
      </w:pPr>
      <w:r w:rsidRPr="00881DB6">
        <w:t>Teaching staff</w:t>
      </w:r>
      <w:r w:rsidR="00732981" w:rsidRPr="004947C1">
        <w:rPr>
          <w:color w:val="FFD006"/>
        </w:rPr>
        <w:t xml:space="preserve"> </w:t>
      </w:r>
      <w:r w:rsidR="00223AA7">
        <w:t>will</w:t>
      </w:r>
      <w:r w:rsidR="00732981">
        <w:t xml:space="preserve"> not provide any type of assistance if the awarding body’s specification explicitly prohibits it. </w:t>
      </w:r>
    </w:p>
    <w:p w14:paraId="035230A6" w14:textId="26E04F0E" w:rsidR="0094413C" w:rsidRDefault="0094413C" w:rsidP="00F47112">
      <w:pPr>
        <w:pStyle w:val="PolicyBullets"/>
        <w:jc w:val="both"/>
      </w:pPr>
      <w:r>
        <w:t xml:space="preserve">Assistance </w:t>
      </w:r>
      <w:proofErr w:type="gramStart"/>
      <w:r w:rsidR="00223AA7">
        <w:t>will</w:t>
      </w:r>
      <w:r>
        <w:t xml:space="preserve"> not be given</w:t>
      </w:r>
      <w:proofErr w:type="gramEnd"/>
      <w:r>
        <w:t xml:space="preserve"> if there is no means to record it and to take account of it in the marking. </w:t>
      </w:r>
    </w:p>
    <w:p w14:paraId="22CFC86E" w14:textId="19865088" w:rsidR="0094413C" w:rsidRDefault="0094413C" w:rsidP="00F47112">
      <w:pPr>
        <w:pStyle w:val="PolicyBullets"/>
        <w:spacing w:after="120"/>
        <w:contextualSpacing w:val="0"/>
        <w:jc w:val="both"/>
      </w:pPr>
      <w:r>
        <w:t xml:space="preserve">Failure to follow this procedure constitutes malpractice. </w:t>
      </w:r>
    </w:p>
    <w:p w14:paraId="50CC2209" w14:textId="7B8DF51D" w:rsidR="0094413C" w:rsidRPr="004947C1" w:rsidRDefault="0094413C" w:rsidP="004947C1">
      <w:pPr>
        <w:pStyle w:val="Style2"/>
        <w:numPr>
          <w:ilvl w:val="0"/>
          <w:numId w:val="0"/>
        </w:numPr>
        <w:jc w:val="both"/>
        <w:rPr>
          <w:b/>
        </w:rPr>
      </w:pPr>
      <w:r w:rsidRPr="004947C1">
        <w:rPr>
          <w:b/>
        </w:rPr>
        <w:t>Resources:</w:t>
      </w:r>
    </w:p>
    <w:p w14:paraId="10015971" w14:textId="7059B331" w:rsidR="0094413C" w:rsidRDefault="0094413C" w:rsidP="004947C1">
      <w:pPr>
        <w:pStyle w:val="Style2"/>
      </w:pPr>
      <w:r>
        <w:t xml:space="preserve">Certain subjects will require candidates to gather information from published sources when researching and planning their tasks. </w:t>
      </w:r>
    </w:p>
    <w:p w14:paraId="3C3C41EE" w14:textId="530DBF13" w:rsidR="0094413C" w:rsidRDefault="0094413C" w:rsidP="004947C1">
      <w:pPr>
        <w:pStyle w:val="Style2"/>
      </w:pPr>
      <w:r>
        <w:t xml:space="preserve">Candidates will normally have unrestricted access to resources. </w:t>
      </w:r>
      <w:r w:rsidR="00262A90">
        <w:t>The s</w:t>
      </w:r>
      <w:r w:rsidR="00226E4A">
        <w:t>chool</w:t>
      </w:r>
      <w:r>
        <w:t xml:space="preserve"> </w:t>
      </w:r>
      <w:r w:rsidR="00223AA7">
        <w:t>will</w:t>
      </w:r>
      <w:r>
        <w:t xml:space="preserve"> refer to the awarding body’s specification and/or associated documents for confirmation. </w:t>
      </w:r>
    </w:p>
    <w:p w14:paraId="58CFC032" w14:textId="6FBCFC89" w:rsidR="0094413C" w:rsidRDefault="0094413C" w:rsidP="004947C1">
      <w:pPr>
        <w:pStyle w:val="Style2"/>
      </w:pPr>
      <w:r>
        <w:t>Unless the awarding body’s specification states otherwise, for all formally supervised sessions</w:t>
      </w:r>
      <w:r w:rsidR="00AA072A">
        <w:t>,</w:t>
      </w:r>
      <w:r>
        <w:t xml:space="preserve"> candidates</w:t>
      </w:r>
      <w:r w:rsidR="00222704">
        <w:t>’</w:t>
      </w:r>
      <w:r>
        <w:t>:</w:t>
      </w:r>
    </w:p>
    <w:p w14:paraId="66D55521" w14:textId="697B8078" w:rsidR="0094413C" w:rsidRDefault="00222704" w:rsidP="00095AF9">
      <w:pPr>
        <w:pStyle w:val="PolicyBullets"/>
      </w:pPr>
      <w:r>
        <w:t xml:space="preserve">Access to resources </w:t>
      </w:r>
      <w:proofErr w:type="gramStart"/>
      <w:r>
        <w:t>is tightly prescribed and normally restricted to preparatory notes</w:t>
      </w:r>
      <w:proofErr w:type="gramEnd"/>
      <w:r>
        <w:t xml:space="preserve">. </w:t>
      </w:r>
    </w:p>
    <w:p w14:paraId="27AF324A" w14:textId="10283229" w:rsidR="00222704" w:rsidRDefault="00222704" w:rsidP="00095AF9">
      <w:pPr>
        <w:pStyle w:val="PolicyBullets"/>
      </w:pPr>
      <w:r>
        <w:t xml:space="preserve">Access to the internet </w:t>
      </w:r>
      <w:proofErr w:type="gramStart"/>
      <w:r>
        <w:t>is not permitted</w:t>
      </w:r>
      <w:proofErr w:type="gramEnd"/>
      <w:r>
        <w:t xml:space="preserve">. </w:t>
      </w:r>
    </w:p>
    <w:p w14:paraId="7119097C" w14:textId="319423F0" w:rsidR="00222704" w:rsidRDefault="00222704" w:rsidP="00095AF9">
      <w:pPr>
        <w:pStyle w:val="PolicyBullets"/>
        <w:spacing w:after="240"/>
      </w:pPr>
      <w:r>
        <w:t xml:space="preserve">Personal computers or other electronic devices </w:t>
      </w:r>
      <w:proofErr w:type="gramStart"/>
      <w:r>
        <w:t>are not permitted</w:t>
      </w:r>
      <w:r w:rsidR="009F3F21">
        <w:t xml:space="preserve"> to be used</w:t>
      </w:r>
      <w:proofErr w:type="gramEnd"/>
      <w:r w:rsidR="009F3F21">
        <w:t xml:space="preserve"> in formally supervised sessions</w:t>
      </w:r>
      <w:r>
        <w:t xml:space="preserve">. </w:t>
      </w:r>
    </w:p>
    <w:p w14:paraId="368716AC" w14:textId="743CA3E7" w:rsidR="00222704" w:rsidRDefault="00222704" w:rsidP="00095AF9">
      <w:pPr>
        <w:pStyle w:val="Style2"/>
      </w:pPr>
      <w:r>
        <w:t xml:space="preserve">Candidates </w:t>
      </w:r>
      <w:proofErr w:type="gramStart"/>
      <w:r>
        <w:t>are not allowed</w:t>
      </w:r>
      <w:proofErr w:type="gramEnd"/>
      <w:r>
        <w:t xml:space="preserve"> to introduce new resources between</w:t>
      </w:r>
      <w:r w:rsidR="009F3F21">
        <w:t xml:space="preserve"> formally supervised </w:t>
      </w:r>
      <w:r>
        <w:t xml:space="preserve">sessions. When work for assessment is produced over several sessions, the following material </w:t>
      </w:r>
      <w:r w:rsidR="00223AA7">
        <w:t>will</w:t>
      </w:r>
      <w:r>
        <w:t xml:space="preserve"> be collected and stored securely at the end of each session (not accessible to candidates): </w:t>
      </w:r>
    </w:p>
    <w:p w14:paraId="1D5974F6" w14:textId="1642CA2E" w:rsidR="00222704" w:rsidRDefault="00222704" w:rsidP="00095AF9">
      <w:pPr>
        <w:pStyle w:val="PolicyBullets"/>
      </w:pPr>
      <w:r>
        <w:t>The work that will be assessed</w:t>
      </w:r>
    </w:p>
    <w:p w14:paraId="74EB509C" w14:textId="2DEF2F28" w:rsidR="00222704" w:rsidRDefault="00222704" w:rsidP="00095AF9">
      <w:pPr>
        <w:pStyle w:val="PolicyBullets"/>
        <w:spacing w:after="240"/>
      </w:pPr>
      <w:r>
        <w:t>Preparatory work</w:t>
      </w:r>
    </w:p>
    <w:p w14:paraId="578A2548" w14:textId="2054A43E" w:rsidR="00222704" w:rsidRDefault="00222704" w:rsidP="00095AF9">
      <w:pPr>
        <w:pStyle w:val="Style2"/>
      </w:pPr>
      <w:r>
        <w:t xml:space="preserve">Additional precautions </w:t>
      </w:r>
      <w:proofErr w:type="gramStart"/>
      <w:r w:rsidR="009F3F21">
        <w:t>will</w:t>
      </w:r>
      <w:r>
        <w:t xml:space="preserve"> be taken</w:t>
      </w:r>
      <w:proofErr w:type="gramEnd"/>
      <w:r>
        <w:t xml:space="preserve"> </w:t>
      </w:r>
      <w:r w:rsidR="009F3F21">
        <w:t>where</w:t>
      </w:r>
      <w:r>
        <w:t xml:space="preserve"> candidates </w:t>
      </w:r>
      <w:r w:rsidR="009F3F21">
        <w:t xml:space="preserve">are permitted </w:t>
      </w:r>
      <w:r>
        <w:t xml:space="preserve">to store work on computers. This may include collecting memory sticks for secure storage between sessions or restricting candidates’ access to specific areas of the </w:t>
      </w:r>
      <w:r w:rsidR="00226E4A">
        <w:t>school</w:t>
      </w:r>
      <w:r>
        <w:t xml:space="preserve">’s IT network. </w:t>
      </w:r>
    </w:p>
    <w:p w14:paraId="00FE29DD" w14:textId="37D8C416" w:rsidR="00223AA7" w:rsidRDefault="00223AA7" w:rsidP="00095AF9">
      <w:pPr>
        <w:pStyle w:val="Style2"/>
      </w:pPr>
      <w:r>
        <w:t>The work submitted for assessment will include references</w:t>
      </w:r>
      <w:r w:rsidR="009F3F21">
        <w:t xml:space="preserve"> to any sources used,</w:t>
      </w:r>
      <w:r>
        <w:t xml:space="preserve"> where appropriate. </w:t>
      </w:r>
    </w:p>
    <w:p w14:paraId="12618169" w14:textId="18BEFD1B" w:rsidR="00222704" w:rsidRDefault="00223AA7" w:rsidP="00095AF9">
      <w:pPr>
        <w:pStyle w:val="PolicyBullets"/>
        <w:spacing w:after="240"/>
      </w:pPr>
      <w:r>
        <w:t xml:space="preserve">To facilitate this, </w:t>
      </w:r>
      <w:proofErr w:type="gramStart"/>
      <w:r>
        <w:t>each candidate will keep a detailed record of their</w:t>
      </w:r>
      <w:proofErr w:type="gramEnd"/>
      <w:r>
        <w:t xml:space="preserve"> own research, planning and resources</w:t>
      </w:r>
      <w:r w:rsidR="00AA072A">
        <w:t>,</w:t>
      </w:r>
      <w:r>
        <w:t xml:space="preserve"> etc. The record will include all the sources used, including books, websites and audio/visual resources.  </w:t>
      </w:r>
    </w:p>
    <w:p w14:paraId="7CD99425" w14:textId="2D7DA368" w:rsidR="00223AA7" w:rsidRPr="00095AF9" w:rsidRDefault="00223AA7" w:rsidP="00095AF9">
      <w:pPr>
        <w:pStyle w:val="Style2"/>
        <w:numPr>
          <w:ilvl w:val="0"/>
          <w:numId w:val="0"/>
        </w:numPr>
        <w:jc w:val="both"/>
        <w:rPr>
          <w:b/>
        </w:rPr>
      </w:pPr>
      <w:r w:rsidRPr="00095AF9">
        <w:rPr>
          <w:b/>
        </w:rPr>
        <w:t xml:space="preserve">Word and time limits: </w:t>
      </w:r>
    </w:p>
    <w:p w14:paraId="47F299A8" w14:textId="27C4D0AD" w:rsidR="00223AA7" w:rsidRDefault="00262A90" w:rsidP="004C487C">
      <w:pPr>
        <w:pStyle w:val="Style2"/>
      </w:pPr>
      <w:r>
        <w:t>The s</w:t>
      </w:r>
      <w:r w:rsidR="00226E4A">
        <w:t>chool</w:t>
      </w:r>
      <w:r w:rsidR="00223AA7">
        <w:t xml:space="preserve"> will refer to awarding bodies’ specifications as to whether time limits are mandatory. Where limits are for guidance only</w:t>
      </w:r>
      <w:r w:rsidR="00216FF7">
        <w:t>,</w:t>
      </w:r>
      <w:r w:rsidR="00223AA7">
        <w:t xml:space="preserve"> candidates</w:t>
      </w:r>
      <w:r>
        <w:t xml:space="preserve"> will be discouraged</w:t>
      </w:r>
      <w:r w:rsidR="00223AA7">
        <w:t xml:space="preserve"> from exceeding them. </w:t>
      </w:r>
    </w:p>
    <w:p w14:paraId="6735D8BF" w14:textId="1BCBE22F" w:rsidR="00223AA7" w:rsidRPr="00095AF9" w:rsidRDefault="00223AA7" w:rsidP="00095AF9">
      <w:pPr>
        <w:pStyle w:val="Style2"/>
        <w:numPr>
          <w:ilvl w:val="0"/>
          <w:numId w:val="0"/>
        </w:numPr>
        <w:jc w:val="both"/>
        <w:rPr>
          <w:b/>
        </w:rPr>
      </w:pPr>
      <w:r w:rsidRPr="00095AF9">
        <w:rPr>
          <w:b/>
        </w:rPr>
        <w:t>Collaboration and group work:</w:t>
      </w:r>
    </w:p>
    <w:p w14:paraId="77B0D9E5" w14:textId="64B0924E" w:rsidR="00223AA7" w:rsidRDefault="00C659AA" w:rsidP="004C487C">
      <w:pPr>
        <w:pStyle w:val="Style2"/>
      </w:pPr>
      <w:r>
        <w:t xml:space="preserve">Unless the </w:t>
      </w:r>
      <w:r w:rsidR="009F3F21">
        <w:t xml:space="preserve">awarding body’s </w:t>
      </w:r>
      <w:r>
        <w:t xml:space="preserve">specification states otherwise, candidates are free to collaborate when carrying out research and preparatory work. </w:t>
      </w:r>
    </w:p>
    <w:p w14:paraId="0F0B358A" w14:textId="16B19747" w:rsidR="00C659AA" w:rsidRDefault="00C659AA" w:rsidP="004C487C">
      <w:pPr>
        <w:pStyle w:val="Style2"/>
      </w:pPr>
      <w:r>
        <w:t xml:space="preserve">Where specifications permit, some assignments </w:t>
      </w:r>
      <w:proofErr w:type="gramStart"/>
      <w:r>
        <w:t>may be undertaken</w:t>
      </w:r>
      <w:proofErr w:type="gramEnd"/>
      <w:r>
        <w:t xml:space="preserve"> as part of a group. The specification may place a restriction on the maximum size of the group. </w:t>
      </w:r>
      <w:r w:rsidR="00C804B5" w:rsidRPr="000466C0">
        <w:t>Teaching staff</w:t>
      </w:r>
      <w:r w:rsidRPr="00095AF9">
        <w:rPr>
          <w:color w:val="FFD006"/>
        </w:rPr>
        <w:t xml:space="preserve"> </w:t>
      </w:r>
      <w:r>
        <w:t xml:space="preserve">will ensure it is possible to ascertain individuals’ contributions to the group work. </w:t>
      </w:r>
    </w:p>
    <w:p w14:paraId="23C89117" w14:textId="5D186801" w:rsidR="00C659AA" w:rsidRDefault="009F3F21" w:rsidP="004C487C">
      <w:pPr>
        <w:pStyle w:val="Style2"/>
      </w:pPr>
      <w:r>
        <w:t>Where a group assignment requires written work to be undertaken</w:t>
      </w:r>
      <w:r w:rsidR="00C659AA">
        <w:t xml:space="preserve">, </w:t>
      </w:r>
      <w:proofErr w:type="gramStart"/>
      <w:r w:rsidR="00C659AA">
        <w:t>each candidate will write up their</w:t>
      </w:r>
      <w:proofErr w:type="gramEnd"/>
      <w:r w:rsidR="00C659AA">
        <w:t xml:space="preserve"> own account of the assignment. It is acceptable for all members of a group to record the same data, but each will use their own words and their own contributions </w:t>
      </w:r>
      <w:proofErr w:type="gramStart"/>
      <w:r w:rsidR="00C659AA">
        <w:t>will be clearly identified</w:t>
      </w:r>
      <w:proofErr w:type="gramEnd"/>
      <w:r w:rsidR="00C659AA">
        <w:t xml:space="preserve">. The contribution of individual candidates will be clear from both the work itself and, if applicable, the records. </w:t>
      </w:r>
    </w:p>
    <w:p w14:paraId="371A301B" w14:textId="2D402857" w:rsidR="00C659AA" w:rsidRDefault="00C659AA" w:rsidP="004C487C">
      <w:pPr>
        <w:pStyle w:val="Style2"/>
      </w:pPr>
      <w:r>
        <w:t xml:space="preserve">Each candidate will be marked as an individual for the work </w:t>
      </w:r>
      <w:proofErr w:type="gramStart"/>
      <w:r>
        <w:t>they</w:t>
      </w:r>
      <w:proofErr w:type="gramEnd"/>
      <w:r>
        <w:t xml:space="preserve"> have contributed. </w:t>
      </w:r>
    </w:p>
    <w:p w14:paraId="067A3965" w14:textId="31933CEA" w:rsidR="00C659AA" w:rsidRDefault="00C659AA" w:rsidP="004C487C">
      <w:pPr>
        <w:pStyle w:val="Style2"/>
      </w:pPr>
      <w:r>
        <w:t xml:space="preserve">The </w:t>
      </w:r>
      <w:r w:rsidR="00226E4A">
        <w:t>school</w:t>
      </w:r>
      <w:r>
        <w:t xml:space="preserve"> is responsible for monitoring group work and ensuring that each candidate’s contribution </w:t>
      </w:r>
      <w:proofErr w:type="gramStart"/>
      <w:r>
        <w:t>can be separately assessed</w:t>
      </w:r>
      <w:proofErr w:type="gramEnd"/>
      <w:r>
        <w:t xml:space="preserve">. </w:t>
      </w:r>
    </w:p>
    <w:p w14:paraId="4E6FE441" w14:textId="6BA4D054" w:rsidR="00C659AA" w:rsidRPr="00095AF9" w:rsidRDefault="00C659AA" w:rsidP="00095AF9">
      <w:pPr>
        <w:pStyle w:val="Style2"/>
        <w:numPr>
          <w:ilvl w:val="0"/>
          <w:numId w:val="0"/>
        </w:numPr>
        <w:jc w:val="both"/>
        <w:rPr>
          <w:b/>
        </w:rPr>
      </w:pPr>
      <w:r w:rsidRPr="00095AF9">
        <w:rPr>
          <w:b/>
        </w:rPr>
        <w:t>Authentication procedures:</w:t>
      </w:r>
    </w:p>
    <w:p w14:paraId="2CD90454" w14:textId="5176E665" w:rsidR="00C659AA" w:rsidRDefault="00C659AA" w:rsidP="00095AF9">
      <w:pPr>
        <w:pStyle w:val="Style2"/>
      </w:pPr>
      <w:r>
        <w:t xml:space="preserve">Teachers will be sufficiently familiar with the candidate’s general standard of work to judge whether the piece submitted is within </w:t>
      </w:r>
      <w:r w:rsidR="001D0647">
        <w:t>their</w:t>
      </w:r>
      <w:r>
        <w:t xml:space="preserve"> capabilities. </w:t>
      </w:r>
    </w:p>
    <w:p w14:paraId="1D4DDD50" w14:textId="1E724600" w:rsidR="001E445E" w:rsidRDefault="001E445E" w:rsidP="00095AF9">
      <w:pPr>
        <w:pStyle w:val="Style2"/>
      </w:pPr>
      <w:r>
        <w:t>Where required by the awarding body’s specification, the following procedure will be applicable:</w:t>
      </w:r>
    </w:p>
    <w:p w14:paraId="4B17AE54" w14:textId="7FA14BC5" w:rsidR="001E445E" w:rsidRDefault="001E445E" w:rsidP="00095AF9">
      <w:pPr>
        <w:pStyle w:val="PolicyBullets"/>
        <w:spacing w:after="240"/>
      </w:pPr>
      <w:r>
        <w:t xml:space="preserve">Candidates will sign a declaration to confirm that the work they submit for final assessment is their own unaided work. </w:t>
      </w:r>
    </w:p>
    <w:p w14:paraId="6F0CD0D6" w14:textId="20560454" w:rsidR="001E445E" w:rsidRDefault="001E445E" w:rsidP="00095AF9">
      <w:pPr>
        <w:pStyle w:val="Style2"/>
      </w:pPr>
      <w:r w:rsidRPr="000466C0">
        <w:t xml:space="preserve">Teachers </w:t>
      </w:r>
      <w:r>
        <w:t xml:space="preserve">will sign a declaration of authentication after the work has been completed confirming that: </w:t>
      </w:r>
    </w:p>
    <w:p w14:paraId="69E4B0FC" w14:textId="01B50284" w:rsidR="001E445E" w:rsidRPr="000466C0" w:rsidRDefault="001E445E" w:rsidP="00095AF9">
      <w:pPr>
        <w:pStyle w:val="PolicyBullets"/>
        <w:rPr>
          <w:rFonts w:cstheme="minorHAnsi"/>
        </w:rPr>
      </w:pPr>
      <w:r w:rsidRPr="000466C0">
        <w:rPr>
          <w:rFonts w:cstheme="minorHAnsi"/>
        </w:rPr>
        <w:t xml:space="preserve">The work is solely that of the candidate concerned. </w:t>
      </w:r>
    </w:p>
    <w:p w14:paraId="182E31FC" w14:textId="1F30AAEB" w:rsidR="001E445E" w:rsidRPr="000466C0" w:rsidRDefault="001E445E" w:rsidP="00095AF9">
      <w:pPr>
        <w:pStyle w:val="PolicyBullets"/>
        <w:rPr>
          <w:rFonts w:cstheme="minorHAnsi"/>
        </w:rPr>
      </w:pPr>
      <w:r w:rsidRPr="000466C0">
        <w:rPr>
          <w:rFonts w:cstheme="minorHAnsi"/>
        </w:rPr>
        <w:t xml:space="preserve">The work </w:t>
      </w:r>
      <w:proofErr w:type="gramStart"/>
      <w:r w:rsidRPr="000466C0">
        <w:rPr>
          <w:rFonts w:cstheme="minorHAnsi"/>
        </w:rPr>
        <w:t>was completed</w:t>
      </w:r>
      <w:proofErr w:type="gramEnd"/>
      <w:r w:rsidRPr="000466C0">
        <w:rPr>
          <w:rFonts w:cstheme="minorHAnsi"/>
        </w:rPr>
        <w:t xml:space="preserve"> under the required conditions. </w:t>
      </w:r>
    </w:p>
    <w:p w14:paraId="7DFF0AC4" w14:textId="206A67D4" w:rsidR="001E445E" w:rsidRPr="000466C0" w:rsidRDefault="001E445E" w:rsidP="00095AF9">
      <w:pPr>
        <w:pStyle w:val="PolicyBullets"/>
        <w:spacing w:after="240"/>
        <w:rPr>
          <w:rFonts w:cstheme="minorHAnsi"/>
        </w:rPr>
      </w:pPr>
      <w:r w:rsidRPr="000466C0">
        <w:rPr>
          <w:rFonts w:cstheme="minorHAnsi"/>
        </w:rPr>
        <w:t xml:space="preserve">Signed candidate declarations </w:t>
      </w:r>
      <w:proofErr w:type="gramStart"/>
      <w:r w:rsidRPr="000466C0">
        <w:rPr>
          <w:rFonts w:cstheme="minorHAnsi"/>
        </w:rPr>
        <w:t>are kept</w:t>
      </w:r>
      <w:proofErr w:type="gramEnd"/>
      <w:r w:rsidRPr="000466C0">
        <w:rPr>
          <w:rFonts w:cstheme="minorHAnsi"/>
        </w:rPr>
        <w:t xml:space="preserve"> on file. (Signed candidate declarations </w:t>
      </w:r>
      <w:proofErr w:type="gramStart"/>
      <w:r w:rsidRPr="000466C0">
        <w:rPr>
          <w:rFonts w:cstheme="minorHAnsi"/>
        </w:rPr>
        <w:t>will be kept</w:t>
      </w:r>
      <w:proofErr w:type="gramEnd"/>
      <w:r w:rsidRPr="000466C0">
        <w:rPr>
          <w:rFonts w:cstheme="minorHAnsi"/>
        </w:rPr>
        <w:t xml:space="preserve"> on file until the deadline for the enquiry about results has passed or until any appeal, malpractice or other result</w:t>
      </w:r>
      <w:r w:rsidR="00BD158B" w:rsidRPr="000466C0">
        <w:rPr>
          <w:rFonts w:cstheme="minorHAnsi"/>
        </w:rPr>
        <w:t>s</w:t>
      </w:r>
      <w:r w:rsidRPr="000466C0">
        <w:rPr>
          <w:rFonts w:cstheme="minorHAnsi"/>
        </w:rPr>
        <w:t xml:space="preserve"> </w:t>
      </w:r>
      <w:r w:rsidR="00BD158B" w:rsidRPr="000466C0">
        <w:rPr>
          <w:rFonts w:cstheme="minorHAnsi"/>
        </w:rPr>
        <w:t xml:space="preserve">enquiry </w:t>
      </w:r>
      <w:r w:rsidRPr="000466C0">
        <w:rPr>
          <w:rFonts w:cstheme="minorHAnsi"/>
        </w:rPr>
        <w:t xml:space="preserve">has been completed, whichever is later. They may be subject to inspection by the JCQ </w:t>
      </w:r>
      <w:r w:rsidR="00D75510" w:rsidRPr="000466C0">
        <w:rPr>
          <w:rFonts w:cstheme="minorHAnsi"/>
        </w:rPr>
        <w:t>s</w:t>
      </w:r>
      <w:r w:rsidR="00226E4A" w:rsidRPr="000466C0">
        <w:rPr>
          <w:rFonts w:cstheme="minorHAnsi"/>
        </w:rPr>
        <w:t>chool</w:t>
      </w:r>
      <w:r w:rsidRPr="000466C0">
        <w:rPr>
          <w:rFonts w:cstheme="minorHAnsi"/>
        </w:rPr>
        <w:t xml:space="preserve"> </w:t>
      </w:r>
      <w:r w:rsidR="00D75510" w:rsidRPr="000466C0">
        <w:rPr>
          <w:rFonts w:cstheme="minorHAnsi"/>
        </w:rPr>
        <w:t>i</w:t>
      </w:r>
      <w:r w:rsidRPr="000466C0">
        <w:rPr>
          <w:rFonts w:cstheme="minorHAnsi"/>
        </w:rPr>
        <w:t>nspector.)</w:t>
      </w:r>
    </w:p>
    <w:p w14:paraId="045E2E5D" w14:textId="57BDE236" w:rsidR="001E445E" w:rsidRDefault="00037B16" w:rsidP="00095AF9">
      <w:pPr>
        <w:pStyle w:val="Style2"/>
      </w:pPr>
      <w:r>
        <w:t xml:space="preserve">If </w:t>
      </w:r>
      <w:r w:rsidR="00C804B5" w:rsidRPr="000466C0">
        <w:t>teaching staff</w:t>
      </w:r>
      <w:r w:rsidRPr="000466C0">
        <w:t xml:space="preserve"> </w:t>
      </w:r>
      <w:r>
        <w:t xml:space="preserve">are unable to confirm whether work presented is a candidate’s own but it has been completed under the required conditions, </w:t>
      </w:r>
      <w:r w:rsidR="00C804B5">
        <w:t>teaching staff</w:t>
      </w:r>
      <w:r>
        <w:t xml:space="preserve"> will:</w:t>
      </w:r>
    </w:p>
    <w:p w14:paraId="1D4AAEEB" w14:textId="4654920B" w:rsidR="001E445E" w:rsidRPr="000466C0" w:rsidRDefault="00CE22EA" w:rsidP="00095AF9">
      <w:pPr>
        <w:pStyle w:val="PolicyBullets"/>
        <w:rPr>
          <w:rFonts w:cstheme="minorHAnsi"/>
        </w:rPr>
      </w:pPr>
      <w:r w:rsidRPr="000466C0">
        <w:rPr>
          <w:rFonts w:cstheme="minorHAnsi"/>
        </w:rPr>
        <w:t>N</w:t>
      </w:r>
      <w:r w:rsidR="00037B16" w:rsidRPr="000466C0">
        <w:rPr>
          <w:rFonts w:cstheme="minorHAnsi"/>
        </w:rPr>
        <w:t xml:space="preserve">ot accept the candidate’s work for assessment. </w:t>
      </w:r>
    </w:p>
    <w:p w14:paraId="4F11C821" w14:textId="3B0A0BC4" w:rsidR="00037B16" w:rsidRPr="000466C0" w:rsidRDefault="00037B16" w:rsidP="00095AF9">
      <w:pPr>
        <w:pStyle w:val="PolicyBullets"/>
        <w:rPr>
          <w:rFonts w:cstheme="minorHAnsi"/>
        </w:rPr>
      </w:pPr>
      <w:r w:rsidRPr="000466C0">
        <w:rPr>
          <w:rFonts w:cstheme="minorHAnsi"/>
        </w:rPr>
        <w:t xml:space="preserve">Record a mark of zero for internally assessed work. </w:t>
      </w:r>
    </w:p>
    <w:p w14:paraId="0B7226F6" w14:textId="5DB58BA0" w:rsidR="00037B16" w:rsidRPr="000466C0" w:rsidRDefault="00037B16" w:rsidP="00095AF9">
      <w:pPr>
        <w:pStyle w:val="PolicyBullets"/>
        <w:spacing w:after="240"/>
        <w:rPr>
          <w:rFonts w:cstheme="minorHAnsi"/>
        </w:rPr>
      </w:pPr>
      <w:r w:rsidRPr="000466C0">
        <w:rPr>
          <w:rFonts w:cstheme="minorHAnsi"/>
        </w:rPr>
        <w:t xml:space="preserve">Notify a member of the </w:t>
      </w:r>
      <w:r w:rsidR="00D75510" w:rsidRPr="000466C0">
        <w:rPr>
          <w:rFonts w:cstheme="minorHAnsi"/>
        </w:rPr>
        <w:t>SLT</w:t>
      </w:r>
      <w:r w:rsidRPr="000466C0">
        <w:rPr>
          <w:rFonts w:cstheme="minorHAnsi"/>
        </w:rPr>
        <w:t xml:space="preserve">. </w:t>
      </w:r>
    </w:p>
    <w:p w14:paraId="4EA06AB6" w14:textId="6706AD58" w:rsidR="00037B16" w:rsidRPr="00095AF9" w:rsidRDefault="00037B16" w:rsidP="00095AF9">
      <w:pPr>
        <w:pStyle w:val="Style2"/>
        <w:numPr>
          <w:ilvl w:val="0"/>
          <w:numId w:val="0"/>
        </w:numPr>
        <w:jc w:val="both"/>
        <w:rPr>
          <w:b/>
        </w:rPr>
      </w:pPr>
      <w:r w:rsidRPr="00095AF9">
        <w:rPr>
          <w:b/>
        </w:rPr>
        <w:t>Presentation of work:</w:t>
      </w:r>
    </w:p>
    <w:p w14:paraId="0634EF2D" w14:textId="08DCB1B1" w:rsidR="00037B16" w:rsidRDefault="00037B16" w:rsidP="00095AF9">
      <w:pPr>
        <w:pStyle w:val="Style2"/>
      </w:pPr>
      <w:r>
        <w:t xml:space="preserve">Candidates </w:t>
      </w:r>
      <w:proofErr w:type="gramStart"/>
      <w:r>
        <w:t>will be allowed</w:t>
      </w:r>
      <w:proofErr w:type="gramEnd"/>
      <w:r>
        <w:t xml:space="preserve"> to word process their work. </w:t>
      </w:r>
    </w:p>
    <w:p w14:paraId="15998282" w14:textId="0006EA3D" w:rsidR="00037B16" w:rsidRDefault="00037B16" w:rsidP="00095AF9">
      <w:pPr>
        <w:pStyle w:val="Style2"/>
      </w:pPr>
      <w:r>
        <w:t>Candidates will be instructed to put the following information on each page as a header or footer:</w:t>
      </w:r>
    </w:p>
    <w:p w14:paraId="2454DA2A" w14:textId="4A9E8A38" w:rsidR="00037B16" w:rsidRDefault="00037B16" w:rsidP="00095AF9">
      <w:pPr>
        <w:pStyle w:val="PolicyBullets"/>
      </w:pPr>
      <w:r>
        <w:t>Five</w:t>
      </w:r>
      <w:r w:rsidR="00216FF7">
        <w:t>-</w:t>
      </w:r>
      <w:r>
        <w:t xml:space="preserve">digit </w:t>
      </w:r>
      <w:r w:rsidR="00226E4A">
        <w:t>school</w:t>
      </w:r>
      <w:r>
        <w:t xml:space="preserve"> number. </w:t>
      </w:r>
    </w:p>
    <w:p w14:paraId="49EDC4F7" w14:textId="674BFBE7" w:rsidR="00037B16" w:rsidRDefault="00037B16" w:rsidP="00095AF9">
      <w:pPr>
        <w:pStyle w:val="PolicyBullets"/>
      </w:pPr>
      <w:r>
        <w:t>Candidate number.</w:t>
      </w:r>
    </w:p>
    <w:p w14:paraId="690BAC13" w14:textId="648C8116" w:rsidR="00037B16" w:rsidRDefault="00037B16" w:rsidP="00095AF9">
      <w:pPr>
        <w:pStyle w:val="PolicyBullets"/>
        <w:spacing w:after="240"/>
      </w:pPr>
      <w:r>
        <w:t xml:space="preserve">Component code. </w:t>
      </w:r>
    </w:p>
    <w:p w14:paraId="4B1CB54E" w14:textId="77777777" w:rsidR="00037B16" w:rsidRDefault="00037B16" w:rsidP="00095AF9">
      <w:pPr>
        <w:pStyle w:val="Style2"/>
      </w:pPr>
      <w:r>
        <w:t xml:space="preserve">Candidates </w:t>
      </w:r>
      <w:proofErr w:type="gramStart"/>
      <w:r>
        <w:t>will be permitted</w:t>
      </w:r>
      <w:proofErr w:type="gramEnd"/>
      <w:r>
        <w:t xml:space="preserve"> to use spell/grammar check when they are word processing. </w:t>
      </w:r>
    </w:p>
    <w:p w14:paraId="7D4122E6" w14:textId="35C548A5" w:rsidR="00037B16" w:rsidRDefault="00037B16" w:rsidP="00095AF9">
      <w:pPr>
        <w:pStyle w:val="Style2"/>
      </w:pPr>
      <w:r>
        <w:t>Candidates will be encouraged to use black ink and write legibl</w:t>
      </w:r>
      <w:r w:rsidR="009F3F21">
        <w:t>y</w:t>
      </w:r>
      <w:r>
        <w:t xml:space="preserve"> for submitted written work. </w:t>
      </w:r>
    </w:p>
    <w:p w14:paraId="33DE0F15" w14:textId="11A1E72D" w:rsidR="00037B16" w:rsidRDefault="0095632B" w:rsidP="00095AF9">
      <w:pPr>
        <w:pStyle w:val="Style2"/>
      </w:pPr>
      <w:r>
        <w:t>Candidates will submit both handwritten and word</w:t>
      </w:r>
      <w:r w:rsidR="00216FF7">
        <w:t>-</w:t>
      </w:r>
      <w:r>
        <w:t>processed work on A4 paper unless the</w:t>
      </w:r>
      <w:r w:rsidR="009F3F21">
        <w:t xml:space="preserve"> awarding body’s</w:t>
      </w:r>
      <w:r>
        <w:t xml:space="preserve"> specification states otherwise. </w:t>
      </w:r>
    </w:p>
    <w:p w14:paraId="620C0B1D" w14:textId="77777777" w:rsidR="0095632B" w:rsidRDefault="0095632B" w:rsidP="00095AF9">
      <w:pPr>
        <w:pStyle w:val="Style2"/>
      </w:pPr>
      <w:r>
        <w:t xml:space="preserve">Candidates will include copies of presentations, charts, artefacts, photographs, letters, videos, audio recordings, transcripts of interviews and witness statements from supervising teachers where appropriate. </w:t>
      </w:r>
    </w:p>
    <w:p w14:paraId="00A6B476" w14:textId="2FDCA780" w:rsidR="0095632B" w:rsidRDefault="0095632B" w:rsidP="00095AF9">
      <w:pPr>
        <w:pStyle w:val="Style2"/>
      </w:pPr>
      <w:r>
        <w:t xml:space="preserve">The insuring of fragile and valuable materials </w:t>
      </w:r>
      <w:proofErr w:type="gramStart"/>
      <w:r>
        <w:t>will be considered</w:t>
      </w:r>
      <w:proofErr w:type="gramEnd"/>
      <w:r>
        <w:t xml:space="preserve">. Awarding bodies are not responsible for the loss or damage of work during moderation or transit. </w:t>
      </w:r>
    </w:p>
    <w:p w14:paraId="3F12955E" w14:textId="61875F03" w:rsidR="0095632B" w:rsidRDefault="0095632B" w:rsidP="00095AF9">
      <w:pPr>
        <w:pStyle w:val="Style2"/>
      </w:pPr>
      <w:r>
        <w:t xml:space="preserve">The inclusion of items of sentimental value, such as photographs or certificates, </w:t>
      </w:r>
      <w:proofErr w:type="gramStart"/>
      <w:r>
        <w:t xml:space="preserve">will not be </w:t>
      </w:r>
      <w:r w:rsidR="006E6C21">
        <w:t>permitted</w:t>
      </w:r>
      <w:proofErr w:type="gramEnd"/>
      <w:r w:rsidR="006E6C21">
        <w:t xml:space="preserve"> </w:t>
      </w:r>
      <w:r>
        <w:t xml:space="preserve">in the presentation of work. </w:t>
      </w:r>
    </w:p>
    <w:p w14:paraId="13AC24AD" w14:textId="57471E47" w:rsidR="0095632B" w:rsidRDefault="0095632B" w:rsidP="00095AF9">
      <w:pPr>
        <w:pStyle w:val="Style2"/>
      </w:pPr>
      <w:r>
        <w:t xml:space="preserve">Consent </w:t>
      </w:r>
      <w:proofErr w:type="gramStart"/>
      <w:r>
        <w:t>will be obtained</w:t>
      </w:r>
      <w:proofErr w:type="gramEnd"/>
      <w:r>
        <w:t xml:space="preserve"> at the beginning of the course from parents if videos, photographs or images of candidates will be included as evidence of participation or contribution. </w:t>
      </w:r>
    </w:p>
    <w:p w14:paraId="5E6169B3" w14:textId="0C5EF15A" w:rsidR="0095632B" w:rsidRDefault="0095632B" w:rsidP="00095AF9">
      <w:pPr>
        <w:pStyle w:val="Style2"/>
      </w:pPr>
      <w:r>
        <w:t xml:space="preserve">Bulky covers and folders </w:t>
      </w:r>
      <w:proofErr w:type="gramStart"/>
      <w:r>
        <w:t>will be removed</w:t>
      </w:r>
      <w:proofErr w:type="gramEnd"/>
      <w:r>
        <w:t xml:space="preserve"> before work is sent for moderation or external marking.</w:t>
      </w:r>
    </w:p>
    <w:p w14:paraId="315DC989" w14:textId="7F820B74" w:rsidR="0095632B" w:rsidRDefault="0095632B" w:rsidP="00095AF9">
      <w:pPr>
        <w:pStyle w:val="Style2"/>
      </w:pPr>
      <w:r>
        <w:t xml:space="preserve">Candidates’ work </w:t>
      </w:r>
      <w:proofErr w:type="gramStart"/>
      <w:r>
        <w:t>will be securely fastened</w:t>
      </w:r>
      <w:proofErr w:type="gramEnd"/>
      <w:r>
        <w:t xml:space="preserve"> and the awarding body’s cover sheet will be fully completed and attached to the work. </w:t>
      </w:r>
    </w:p>
    <w:p w14:paraId="3AFE520F" w14:textId="4549B435" w:rsidR="0095632B" w:rsidRPr="00095AF9" w:rsidRDefault="0095632B" w:rsidP="00095AF9">
      <w:pPr>
        <w:pStyle w:val="Style2"/>
        <w:numPr>
          <w:ilvl w:val="0"/>
          <w:numId w:val="0"/>
        </w:numPr>
        <w:jc w:val="both"/>
        <w:rPr>
          <w:b/>
        </w:rPr>
      </w:pPr>
      <w:r w:rsidRPr="00095AF9">
        <w:rPr>
          <w:b/>
        </w:rPr>
        <w:t>Keeping materials secure:</w:t>
      </w:r>
    </w:p>
    <w:p w14:paraId="070AB35C" w14:textId="37A2D2D3" w:rsidR="008C7647" w:rsidRDefault="008C7647" w:rsidP="00095AF9">
      <w:pPr>
        <w:pStyle w:val="Style2"/>
      </w:pPr>
      <w:r>
        <w:t xml:space="preserve">Where candidates are producing work over a </w:t>
      </w:r>
      <w:proofErr w:type="gramStart"/>
      <w:r>
        <w:t>period of time</w:t>
      </w:r>
      <w:proofErr w:type="gramEnd"/>
      <w:r>
        <w:t xml:space="preserve"> under formal supervision</w:t>
      </w:r>
      <w:r w:rsidR="00D75510">
        <w:t>,</w:t>
      </w:r>
      <w:r>
        <w:t xml:space="preserve"> their work will be stored securely. </w:t>
      </w:r>
    </w:p>
    <w:p w14:paraId="22580509" w14:textId="5EA0DD12" w:rsidR="008C7647" w:rsidRDefault="008C7647" w:rsidP="00095AF9">
      <w:pPr>
        <w:pStyle w:val="Style2"/>
      </w:pPr>
      <w:r>
        <w:t xml:space="preserve">Where work is stored in a hard-copy format, secure storage </w:t>
      </w:r>
      <w:proofErr w:type="gramStart"/>
      <w:r>
        <w:t>is defined</w:t>
      </w:r>
      <w:proofErr w:type="gramEnd"/>
      <w:r>
        <w:t xml:space="preserve"> as a securely locked cabinet or cupboard. </w:t>
      </w:r>
    </w:p>
    <w:p w14:paraId="5C4DE8DC" w14:textId="723E4D2F" w:rsidR="008C7647" w:rsidRDefault="008C7647" w:rsidP="00095AF9">
      <w:pPr>
        <w:pStyle w:val="Style2"/>
      </w:pPr>
      <w:r>
        <w:t xml:space="preserve">Where candidates are producing </w:t>
      </w:r>
      <w:r w:rsidR="00CE22EA">
        <w:t>artefacts</w:t>
      </w:r>
      <w:r w:rsidR="006E6C21">
        <w:t>, such as a piece of art</w:t>
      </w:r>
      <w:r w:rsidR="00CE22EA">
        <w:t>,</w:t>
      </w:r>
      <w:r>
        <w:t xml:space="preserve"> secure storage may be defined as a classroom, studio or workshop which is locked or supervised from the end of one session to </w:t>
      </w:r>
      <w:r w:rsidR="004A42C4">
        <w:t xml:space="preserve">the </w:t>
      </w:r>
      <w:r>
        <w:t xml:space="preserve">start of the next. </w:t>
      </w:r>
    </w:p>
    <w:p w14:paraId="55B506B6" w14:textId="066C386F" w:rsidR="008C7647" w:rsidRDefault="008C7647" w:rsidP="00095AF9">
      <w:pPr>
        <w:pStyle w:val="Style2"/>
      </w:pPr>
      <w:r>
        <w:t xml:space="preserve">When work is stored in a digital format, it is the </w:t>
      </w:r>
      <w:r w:rsidR="00226E4A">
        <w:t>school</w:t>
      </w:r>
      <w:r>
        <w:t xml:space="preserve">’s responsibility to keep the work that candidates have submitted secure. </w:t>
      </w:r>
    </w:p>
    <w:p w14:paraId="1AF5A479" w14:textId="1A05CDB6" w:rsidR="00DE5C71" w:rsidRDefault="00DE5C71" w:rsidP="00095AF9">
      <w:pPr>
        <w:pStyle w:val="Style2"/>
      </w:pPr>
      <w:r>
        <w:t>Where work is stored electronically</w:t>
      </w:r>
      <w:r w:rsidR="00D75510">
        <w:t>, the</w:t>
      </w:r>
      <w:r>
        <w:t xml:space="preserve"> </w:t>
      </w:r>
      <w:r w:rsidR="00226E4A">
        <w:t>school</w:t>
      </w:r>
      <w:r>
        <w:t xml:space="preserve"> will restrict access to this material and will utilise appropriate security safeguards such as firewall protection and virus scanning software. An effective contingency strategy will be in place so that an up-to-date archive of candidates’ evidence </w:t>
      </w:r>
      <w:proofErr w:type="gramStart"/>
      <w:r>
        <w:t>is maintained</w:t>
      </w:r>
      <w:proofErr w:type="gramEnd"/>
      <w:r>
        <w:t xml:space="preserve">. </w:t>
      </w:r>
    </w:p>
    <w:p w14:paraId="16A19E39" w14:textId="2920F93A" w:rsidR="00DE5C71" w:rsidRDefault="00DE5C71" w:rsidP="00095AF9">
      <w:pPr>
        <w:pStyle w:val="Style2"/>
      </w:pPr>
      <w:r>
        <w:t xml:space="preserve">Teachers are allowed to take work home to mark, </w:t>
      </w:r>
      <w:proofErr w:type="gramStart"/>
      <w:r>
        <w:t>provided that</w:t>
      </w:r>
      <w:proofErr w:type="gramEnd"/>
      <w:r>
        <w:t xml:space="preserve"> they take sensible precautions regarding the work</w:t>
      </w:r>
      <w:r w:rsidR="004A42C4">
        <w:t>’</w:t>
      </w:r>
      <w:r>
        <w:t xml:space="preserve">s security. </w:t>
      </w:r>
    </w:p>
    <w:p w14:paraId="4BBD0196" w14:textId="2EAADACF" w:rsidR="00DE5C71" w:rsidRDefault="00DE5C71" w:rsidP="00095AF9">
      <w:pPr>
        <w:pStyle w:val="Style2"/>
      </w:pPr>
      <w:r>
        <w:t xml:space="preserve">Internally assessed work that is not required for moderation purposes and work returned to </w:t>
      </w:r>
      <w:r w:rsidR="004A42C4">
        <w:t xml:space="preserve">the </w:t>
      </w:r>
      <w:r w:rsidR="00226E4A">
        <w:t>school</w:t>
      </w:r>
      <w:r>
        <w:t xml:space="preserve"> after moderation </w:t>
      </w:r>
      <w:proofErr w:type="gramStart"/>
      <w:r>
        <w:t>will be returned</w:t>
      </w:r>
      <w:proofErr w:type="gramEnd"/>
      <w:r>
        <w:t xml:space="preserve"> to secure storage until all possible post-results services</w:t>
      </w:r>
      <w:r w:rsidR="006E6C21">
        <w:t>, such as appeals,</w:t>
      </w:r>
      <w:r>
        <w:t xml:space="preserve"> have been exhausted</w:t>
      </w:r>
      <w:r w:rsidR="00852767">
        <w:t xml:space="preserve">. If post-results services </w:t>
      </w:r>
      <w:proofErr w:type="gramStart"/>
      <w:r w:rsidR="00852767">
        <w:t>have not been requested</w:t>
      </w:r>
      <w:proofErr w:type="gramEnd"/>
      <w:r w:rsidR="00852767">
        <w:t xml:space="preserve">, internally assessed work will be returned to candidates after the deadline for enquiries about results for the relevant series. If post-results services </w:t>
      </w:r>
      <w:proofErr w:type="gramStart"/>
      <w:r w:rsidR="00852767">
        <w:t>have been requested</w:t>
      </w:r>
      <w:proofErr w:type="gramEnd"/>
      <w:r w:rsidR="00852767">
        <w:t xml:space="preserve">, internally assessed work will be returned once the enquiry about results and any subsequent appeal has been completed.  </w:t>
      </w:r>
      <w:r>
        <w:t xml:space="preserve">   </w:t>
      </w:r>
    </w:p>
    <w:p w14:paraId="00319EF5" w14:textId="702F65F3" w:rsidR="00852767" w:rsidRDefault="00AF3350" w:rsidP="00095AF9">
      <w:pPr>
        <w:pStyle w:val="Style2"/>
      </w:pPr>
      <w:r>
        <w:t>C</w:t>
      </w:r>
      <w:r w:rsidR="00852767">
        <w:t>andidates</w:t>
      </w:r>
      <w:r>
        <w:t xml:space="preserve"> </w:t>
      </w:r>
      <w:proofErr w:type="gramStart"/>
      <w:r>
        <w:t>will be reminded</w:t>
      </w:r>
      <w:proofErr w:type="gramEnd"/>
      <w:r w:rsidR="00852767">
        <w:t xml:space="preserve"> to keep their work secure at all times and not to share completed work or partially completed work on social media or </w:t>
      </w:r>
      <w:r>
        <w:t xml:space="preserve">by </w:t>
      </w:r>
      <w:r w:rsidR="00852767">
        <w:t xml:space="preserve">any other means. </w:t>
      </w:r>
    </w:p>
    <w:p w14:paraId="438CA4A8" w14:textId="40C9460D" w:rsidR="0095632B" w:rsidRPr="006136A5" w:rsidRDefault="00A82AD1" w:rsidP="00F47112">
      <w:pPr>
        <w:pStyle w:val="Heading10"/>
        <w:jc w:val="both"/>
        <w:rPr>
          <w:b/>
          <w:sz w:val="28"/>
        </w:rPr>
      </w:pPr>
      <w:bookmarkStart w:id="17" w:name="_Task_marking_–"/>
      <w:bookmarkEnd w:id="17"/>
      <w:r>
        <w:rPr>
          <w:b/>
          <w:sz w:val="28"/>
        </w:rPr>
        <w:t>T</w:t>
      </w:r>
      <w:r w:rsidR="0095632B" w:rsidRPr="006136A5">
        <w:rPr>
          <w:b/>
          <w:sz w:val="28"/>
        </w:rPr>
        <w:t>ask marking – externally assessed components</w:t>
      </w:r>
    </w:p>
    <w:p w14:paraId="0280C433" w14:textId="4DB41DEB" w:rsidR="00852767" w:rsidRPr="00095AF9" w:rsidRDefault="00852767" w:rsidP="00095AF9">
      <w:pPr>
        <w:pStyle w:val="Style2"/>
        <w:numPr>
          <w:ilvl w:val="0"/>
          <w:numId w:val="0"/>
        </w:numPr>
        <w:jc w:val="both"/>
        <w:rPr>
          <w:b/>
        </w:rPr>
      </w:pPr>
      <w:r w:rsidRPr="00095AF9">
        <w:rPr>
          <w:b/>
        </w:rPr>
        <w:t xml:space="preserve">Conduct of externally assessed work: </w:t>
      </w:r>
    </w:p>
    <w:p w14:paraId="2025EE08" w14:textId="427045EA" w:rsidR="006136A5" w:rsidRPr="00852767" w:rsidRDefault="00852767" w:rsidP="00095AF9">
      <w:pPr>
        <w:pStyle w:val="Style2"/>
      </w:pPr>
      <w:r>
        <w:t xml:space="preserve">The format of external assessment will </w:t>
      </w:r>
      <w:r w:rsidR="006136A5">
        <w:t xml:space="preserve">vary according to the specification and component; for example, some components may have a </w:t>
      </w:r>
      <w:r w:rsidR="00AF3350">
        <w:t>v</w:t>
      </w:r>
      <w:r w:rsidR="006136A5">
        <w:t xml:space="preserve">isiting </w:t>
      </w:r>
      <w:r w:rsidR="00AF3350">
        <w:t>e</w:t>
      </w:r>
      <w:r w:rsidR="006136A5">
        <w:t>xaminer</w:t>
      </w:r>
      <w:r w:rsidR="006C2394">
        <w:t>,</w:t>
      </w:r>
      <w:r w:rsidR="006136A5">
        <w:t xml:space="preserve"> whereas sometime candidates’ work </w:t>
      </w:r>
      <w:proofErr w:type="gramStart"/>
      <w:r w:rsidR="006136A5">
        <w:t>will be required to be dispatched</w:t>
      </w:r>
      <w:proofErr w:type="gramEnd"/>
      <w:r w:rsidR="006136A5">
        <w:t xml:space="preserve"> to an examiner. Details of the subject-specific arrangements </w:t>
      </w:r>
      <w:proofErr w:type="gramStart"/>
      <w:r w:rsidR="006136A5">
        <w:t>will be found</w:t>
      </w:r>
      <w:proofErr w:type="gramEnd"/>
      <w:r w:rsidR="006136A5">
        <w:t xml:space="preserve"> in the awarding body’s specification. </w:t>
      </w:r>
    </w:p>
    <w:p w14:paraId="11EC9D96" w14:textId="40E2A54B" w:rsidR="00852767" w:rsidRDefault="006136A5" w:rsidP="00095AF9">
      <w:pPr>
        <w:pStyle w:val="Style2"/>
      </w:pPr>
      <w:r>
        <w:t xml:space="preserve">Externally assessed work </w:t>
      </w:r>
      <w:proofErr w:type="gramStart"/>
      <w:r>
        <w:t>will be conducted</w:t>
      </w:r>
      <w:proofErr w:type="gramEnd"/>
      <w:r>
        <w:t xml:space="preserve"> within a window specified by the awarding body.</w:t>
      </w:r>
    </w:p>
    <w:p w14:paraId="51EC0E61" w14:textId="5647E05B" w:rsidR="006136A5" w:rsidRPr="00095AF9" w:rsidRDefault="006136A5" w:rsidP="00095AF9">
      <w:pPr>
        <w:pStyle w:val="Style2"/>
        <w:numPr>
          <w:ilvl w:val="0"/>
          <w:numId w:val="0"/>
        </w:numPr>
        <w:jc w:val="both"/>
        <w:rPr>
          <w:b/>
        </w:rPr>
      </w:pPr>
      <w:r w:rsidRPr="00095AF9">
        <w:rPr>
          <w:b/>
        </w:rPr>
        <w:t>Submission of work:</w:t>
      </w:r>
    </w:p>
    <w:p w14:paraId="1E76E19F" w14:textId="09FE5DF3" w:rsidR="006136A5" w:rsidRDefault="006C2394" w:rsidP="00095AF9">
      <w:pPr>
        <w:pStyle w:val="Style2"/>
      </w:pPr>
      <w:r>
        <w:t>The s</w:t>
      </w:r>
      <w:r w:rsidR="00226E4A">
        <w:t>chool</w:t>
      </w:r>
      <w:r w:rsidR="006136A5">
        <w:t xml:space="preserve"> will pay close attention to the completion of the attendance register, clearly indicating those candidates who are either present or absent</w:t>
      </w:r>
      <w:r w:rsidR="006E6C21">
        <w:t xml:space="preserve"> at sessions</w:t>
      </w:r>
      <w:r w:rsidR="006136A5">
        <w:t>.</w:t>
      </w:r>
      <w:r>
        <w:t xml:space="preserve"> The school recognises that</w:t>
      </w:r>
      <w:r w:rsidR="006136A5">
        <w:t xml:space="preserve"> </w:t>
      </w:r>
      <w:r>
        <w:t>f</w:t>
      </w:r>
      <w:r w:rsidR="006136A5">
        <w:t xml:space="preserve">ailure to do so will </w:t>
      </w:r>
      <w:proofErr w:type="gramStart"/>
      <w:r w:rsidR="006136A5">
        <w:t>impact</w:t>
      </w:r>
      <w:proofErr w:type="gramEnd"/>
      <w:r w:rsidR="006136A5">
        <w:t xml:space="preserve"> upon an awarding body’s ability to deliver an accurate set of results. </w:t>
      </w:r>
    </w:p>
    <w:p w14:paraId="69A8E6AB" w14:textId="25030EA3" w:rsidR="006136A5" w:rsidRDefault="006136A5" w:rsidP="00095AF9">
      <w:pPr>
        <w:pStyle w:val="Style2"/>
      </w:pPr>
      <w:r>
        <w:t xml:space="preserve">A copy of the attendance register </w:t>
      </w:r>
      <w:proofErr w:type="gramStart"/>
      <w:r>
        <w:t>will be kept</w:t>
      </w:r>
      <w:proofErr w:type="gramEnd"/>
      <w:r>
        <w:t xml:space="preserve"> until the deadline for enquiries about results has passed. </w:t>
      </w:r>
    </w:p>
    <w:p w14:paraId="015551F8" w14:textId="4D707793" w:rsidR="006136A5" w:rsidRDefault="006136A5" w:rsidP="00095AF9">
      <w:pPr>
        <w:pStyle w:val="Style2"/>
      </w:pPr>
      <w:r>
        <w:t>Where candidates’ work need</w:t>
      </w:r>
      <w:r w:rsidR="000D0E71">
        <w:t>s</w:t>
      </w:r>
      <w:r>
        <w:t xml:space="preserve"> to </w:t>
      </w:r>
      <w:proofErr w:type="gramStart"/>
      <w:r>
        <w:t>be d</w:t>
      </w:r>
      <w:r w:rsidR="000D0E71">
        <w:t>i</w:t>
      </w:r>
      <w:r>
        <w:t>spatched</w:t>
      </w:r>
      <w:proofErr w:type="gramEnd"/>
      <w:r>
        <w:t xml:space="preserve"> to an examiner, it will be sent by the date specified by the awarding body. </w:t>
      </w:r>
    </w:p>
    <w:p w14:paraId="6EEFBD0D" w14:textId="72909F59" w:rsidR="00216FF7" w:rsidRPr="00095AF9" w:rsidRDefault="00216FF7" w:rsidP="00095AF9">
      <w:pPr>
        <w:pStyle w:val="Style2"/>
        <w:numPr>
          <w:ilvl w:val="0"/>
          <w:numId w:val="0"/>
        </w:numPr>
        <w:rPr>
          <w:b/>
        </w:rPr>
      </w:pPr>
      <w:r w:rsidRPr="00095AF9">
        <w:rPr>
          <w:b/>
        </w:rPr>
        <w:t xml:space="preserve">Feedback: </w:t>
      </w:r>
    </w:p>
    <w:p w14:paraId="24A2A9AF" w14:textId="693ECF2D" w:rsidR="00C804B5" w:rsidRDefault="006E6C21" w:rsidP="00095AF9">
      <w:pPr>
        <w:pStyle w:val="Style2"/>
      </w:pPr>
      <w:r>
        <w:t xml:space="preserve">The school will review </w:t>
      </w:r>
      <w:r w:rsidR="00216FF7">
        <w:t>feedback</w:t>
      </w:r>
      <w:r>
        <w:t xml:space="preserve"> concerning our conduction of assessments</w:t>
      </w:r>
      <w:r w:rsidR="00216FF7">
        <w:t xml:space="preserve">. The feedback will be constructive, objective, supported by fact and judgement and sufficiently detailed to explain any differences between the school’s assessments and the agreed standard for the component. </w:t>
      </w:r>
    </w:p>
    <w:p w14:paraId="475302C2" w14:textId="434657F7" w:rsidR="0095632B" w:rsidRPr="006136A5" w:rsidRDefault="00A82AD1" w:rsidP="00F47112">
      <w:pPr>
        <w:pStyle w:val="Heading10"/>
        <w:jc w:val="both"/>
        <w:rPr>
          <w:b/>
          <w:sz w:val="28"/>
        </w:rPr>
      </w:pPr>
      <w:bookmarkStart w:id="18" w:name="_Task_marking_–_1"/>
      <w:bookmarkEnd w:id="18"/>
      <w:r>
        <w:rPr>
          <w:b/>
          <w:sz w:val="28"/>
        </w:rPr>
        <w:t>T</w:t>
      </w:r>
      <w:r w:rsidR="0095632B" w:rsidRPr="006136A5">
        <w:rPr>
          <w:b/>
          <w:sz w:val="28"/>
        </w:rPr>
        <w:t>ask marking – internally assessed components</w:t>
      </w:r>
    </w:p>
    <w:p w14:paraId="676BE488" w14:textId="6095FB6D" w:rsidR="006136A5" w:rsidRPr="00095AF9" w:rsidRDefault="006136A5" w:rsidP="00095AF9">
      <w:pPr>
        <w:pStyle w:val="Style2"/>
        <w:numPr>
          <w:ilvl w:val="0"/>
          <w:numId w:val="0"/>
        </w:numPr>
        <w:jc w:val="both"/>
        <w:rPr>
          <w:b/>
        </w:rPr>
      </w:pPr>
      <w:r w:rsidRPr="00095AF9">
        <w:rPr>
          <w:b/>
        </w:rPr>
        <w:t xml:space="preserve">Marking and annotation: </w:t>
      </w:r>
    </w:p>
    <w:p w14:paraId="74DB6481" w14:textId="5DAC2044" w:rsidR="006136A5" w:rsidRDefault="006136A5" w:rsidP="00095AF9">
      <w:pPr>
        <w:pStyle w:val="Style2"/>
      </w:pPr>
      <w:r w:rsidRPr="000466C0">
        <w:t>Teachers</w:t>
      </w:r>
      <w:r>
        <w:t xml:space="preserve"> </w:t>
      </w:r>
      <w:r w:rsidR="00161AD2">
        <w:t>will mark</w:t>
      </w:r>
      <w:r>
        <w:t xml:space="preserve"> work in </w:t>
      </w:r>
      <w:r w:rsidR="00161AD2">
        <w:t xml:space="preserve">accordance with the marking criteria detailed in the relevant specification and associated subject-specific documents. </w:t>
      </w:r>
    </w:p>
    <w:p w14:paraId="2F5EC897" w14:textId="1B251C66" w:rsidR="00161AD2" w:rsidRDefault="00161AD2" w:rsidP="00095AF9">
      <w:pPr>
        <w:pStyle w:val="Style2"/>
      </w:pPr>
      <w:r w:rsidRPr="000466C0">
        <w:t>Teacher</w:t>
      </w:r>
      <w:r>
        <w:t xml:space="preserve"> annotations </w:t>
      </w:r>
      <w:proofErr w:type="gramStart"/>
      <w:r>
        <w:t>will be used</w:t>
      </w:r>
      <w:proofErr w:type="gramEnd"/>
      <w:r>
        <w:t xml:space="preserve"> to provide evidence to indicate how and why marks have been awarded. This will facilitate the standardisation of marking within the </w:t>
      </w:r>
      <w:r w:rsidR="00226E4A">
        <w:t>school</w:t>
      </w:r>
      <w:r>
        <w:t xml:space="preserve"> and enable the moderator to check that marking is in line with the assessment criteria. </w:t>
      </w:r>
    </w:p>
    <w:p w14:paraId="367782A4" w14:textId="28490D5D" w:rsidR="00161AD2" w:rsidRPr="00095AF9" w:rsidRDefault="006E6C21" w:rsidP="00095AF9">
      <w:pPr>
        <w:pStyle w:val="Style2"/>
        <w:numPr>
          <w:ilvl w:val="0"/>
          <w:numId w:val="0"/>
        </w:numPr>
        <w:jc w:val="both"/>
        <w:rPr>
          <w:b/>
        </w:rPr>
      </w:pPr>
      <w:r w:rsidRPr="00095AF9">
        <w:rPr>
          <w:b/>
        </w:rPr>
        <w:t>Annotat</w:t>
      </w:r>
      <w:r>
        <w:rPr>
          <w:b/>
        </w:rPr>
        <w:t xml:space="preserve">ing </w:t>
      </w:r>
      <w:r w:rsidR="00161AD2" w:rsidRPr="00095AF9">
        <w:rPr>
          <w:b/>
        </w:rPr>
        <w:t xml:space="preserve">the work: </w:t>
      </w:r>
    </w:p>
    <w:p w14:paraId="37B8606A" w14:textId="7AFA450D" w:rsidR="00161AD2" w:rsidRDefault="004C1E3C" w:rsidP="00095AF9">
      <w:pPr>
        <w:pStyle w:val="Style2"/>
      </w:pPr>
      <w:proofErr w:type="gramStart"/>
      <w:r>
        <w:t>When marking, the marker will follow guidance in the relevant specification and associated subject-specific documents.</w:t>
      </w:r>
      <w:proofErr w:type="gramEnd"/>
      <w:r>
        <w:t xml:space="preserve"> </w:t>
      </w:r>
    </w:p>
    <w:p w14:paraId="3B6590A0" w14:textId="0AA93D60" w:rsidR="004C1E3C" w:rsidRDefault="004C1E3C" w:rsidP="00095AF9">
      <w:pPr>
        <w:pStyle w:val="Style2"/>
      </w:pPr>
      <w:r>
        <w:t xml:space="preserve">The marker will provide evidence to support awarded marks. </w:t>
      </w:r>
    </w:p>
    <w:p w14:paraId="313EA93F" w14:textId="4B13805D" w:rsidR="004C1E3C" w:rsidRDefault="004C1E3C" w:rsidP="00095AF9">
      <w:pPr>
        <w:pStyle w:val="Style2"/>
      </w:pPr>
      <w:r>
        <w:t xml:space="preserve">The marker will identify the assessment criteria that the candidate has met. </w:t>
      </w:r>
    </w:p>
    <w:p w14:paraId="46304CC5" w14:textId="1A57EEBB" w:rsidR="004C1E3C" w:rsidRDefault="004C1E3C" w:rsidP="00095AF9">
      <w:pPr>
        <w:pStyle w:val="Style2"/>
      </w:pPr>
      <w:r>
        <w:t xml:space="preserve">The marker will be clear and unambiguous. </w:t>
      </w:r>
    </w:p>
    <w:p w14:paraId="3A6E340E" w14:textId="166649B7" w:rsidR="004C1E3C" w:rsidRDefault="004C1E3C" w:rsidP="00095AF9">
      <w:pPr>
        <w:pStyle w:val="Style2"/>
      </w:pPr>
      <w:r>
        <w:t xml:space="preserve">The marker will use key phrases from the marking criteria; </w:t>
      </w:r>
      <w:r w:rsidR="00AF3350">
        <w:t>e.g.</w:t>
      </w:r>
      <w:r>
        <w:t xml:space="preserve"> </w:t>
      </w:r>
      <w:r w:rsidR="00E80E76">
        <w:t>“</w:t>
      </w:r>
      <w:r>
        <w:t>uses a variety of techniques</w:t>
      </w:r>
      <w:r w:rsidR="00E80E76">
        <w:t>”</w:t>
      </w:r>
      <w:r>
        <w:t xml:space="preserve">. </w:t>
      </w:r>
    </w:p>
    <w:p w14:paraId="19C00850" w14:textId="3CBFAD6C" w:rsidR="004C1E3C" w:rsidRDefault="004C1E3C" w:rsidP="00095AF9">
      <w:pPr>
        <w:pStyle w:val="Style2"/>
      </w:pPr>
      <w:r>
        <w:t xml:space="preserve">The marker will insert annotations at the appropriate point in the work – in the margin or in the text – or write comments on the cover sheet to show clearly how credit </w:t>
      </w:r>
      <w:proofErr w:type="gramStart"/>
      <w:r>
        <w:t>has been awarded</w:t>
      </w:r>
      <w:proofErr w:type="gramEnd"/>
      <w:r>
        <w:t xml:space="preserve">. </w:t>
      </w:r>
    </w:p>
    <w:p w14:paraId="206CE958" w14:textId="626FCD7A" w:rsidR="005A3180" w:rsidRPr="00095AF9" w:rsidRDefault="005A3180" w:rsidP="00095AF9">
      <w:pPr>
        <w:pStyle w:val="Style2"/>
        <w:numPr>
          <w:ilvl w:val="0"/>
          <w:numId w:val="0"/>
        </w:numPr>
        <w:jc w:val="both"/>
        <w:rPr>
          <w:b/>
        </w:rPr>
      </w:pPr>
      <w:r w:rsidRPr="00095AF9">
        <w:rPr>
          <w:b/>
        </w:rPr>
        <w:t>Award</w:t>
      </w:r>
      <w:r w:rsidR="006E6C21">
        <w:rPr>
          <w:b/>
        </w:rPr>
        <w:t>ing</w:t>
      </w:r>
      <w:r w:rsidRPr="00095AF9">
        <w:rPr>
          <w:b/>
        </w:rPr>
        <w:t xml:space="preserve"> marks:</w:t>
      </w:r>
    </w:p>
    <w:p w14:paraId="4599E5A9" w14:textId="3AD81CD5" w:rsidR="00CD3E33" w:rsidRDefault="0026188F" w:rsidP="00095AF9">
      <w:pPr>
        <w:pStyle w:val="Style2"/>
      </w:pPr>
      <w:r>
        <w:t>In regards to work done in groups, marks that reflect the contributions of individual candidates</w:t>
      </w:r>
      <w:r w:rsidR="00AF3350">
        <w:t xml:space="preserve"> </w:t>
      </w:r>
      <w:proofErr w:type="gramStart"/>
      <w:r w:rsidR="00AF3350">
        <w:t>will be awarded</w:t>
      </w:r>
      <w:proofErr w:type="gramEnd"/>
      <w:r>
        <w:t xml:space="preserve">. </w:t>
      </w:r>
    </w:p>
    <w:p w14:paraId="183C987C" w14:textId="620935A2" w:rsidR="0026188F" w:rsidRDefault="0026188F" w:rsidP="00095AF9">
      <w:pPr>
        <w:pStyle w:val="Style2"/>
      </w:pPr>
      <w:r>
        <w:t xml:space="preserve">The marker will account for if a candidate has received feedback and guidance that </w:t>
      </w:r>
      <w:r w:rsidR="006E6C21">
        <w:t>goes</w:t>
      </w:r>
      <w:r>
        <w:t xml:space="preserve"> </w:t>
      </w:r>
      <w:r w:rsidR="006E6C21">
        <w:t>beyond the general guidance</w:t>
      </w:r>
      <w:r>
        <w:t xml:space="preserve"> </w:t>
      </w:r>
      <w:r w:rsidR="006E6C21">
        <w:t xml:space="preserve">allowed, which </w:t>
      </w:r>
      <w:proofErr w:type="gramStart"/>
      <w:r w:rsidR="006E6C21">
        <w:t>is stated</w:t>
      </w:r>
      <w:proofErr w:type="gramEnd"/>
      <w:r w:rsidR="006E6C21">
        <w:t xml:space="preserve"> by the awarding body’s specification</w:t>
      </w:r>
      <w:r>
        <w:t xml:space="preserve">. </w:t>
      </w:r>
    </w:p>
    <w:p w14:paraId="7A6A767C" w14:textId="655480BE" w:rsidR="005A3180" w:rsidRPr="00095AF9" w:rsidRDefault="005A3180" w:rsidP="00095AF9">
      <w:pPr>
        <w:pStyle w:val="Style2"/>
        <w:numPr>
          <w:ilvl w:val="0"/>
          <w:numId w:val="0"/>
        </w:numPr>
        <w:jc w:val="both"/>
        <w:rPr>
          <w:b/>
        </w:rPr>
      </w:pPr>
      <w:r w:rsidRPr="00095AF9">
        <w:rPr>
          <w:b/>
        </w:rPr>
        <w:t>Complet</w:t>
      </w:r>
      <w:r w:rsidR="006E6C21">
        <w:rPr>
          <w:b/>
        </w:rPr>
        <w:t>ing</w:t>
      </w:r>
      <w:r w:rsidRPr="00095AF9">
        <w:rPr>
          <w:b/>
        </w:rPr>
        <w:t xml:space="preserve"> documentation:</w:t>
      </w:r>
    </w:p>
    <w:p w14:paraId="7BFDC06E" w14:textId="752B22EF" w:rsidR="0026188F" w:rsidRDefault="0026188F" w:rsidP="00095AF9">
      <w:pPr>
        <w:pStyle w:val="Style2"/>
      </w:pPr>
      <w:r>
        <w:t xml:space="preserve">The marker will record the feedback and guidance that </w:t>
      </w:r>
      <w:proofErr w:type="gramStart"/>
      <w:r>
        <w:t>is given</w:t>
      </w:r>
      <w:proofErr w:type="gramEnd"/>
      <w:r>
        <w:t xml:space="preserve"> to candidates. </w:t>
      </w:r>
    </w:p>
    <w:p w14:paraId="12E82FC0" w14:textId="18097112" w:rsidR="0026188F" w:rsidRDefault="0026188F" w:rsidP="00095AF9">
      <w:pPr>
        <w:pStyle w:val="Style2"/>
      </w:pPr>
      <w:r>
        <w:t>The marker will enter marks in the way specified by the relevant awarding body.</w:t>
      </w:r>
    </w:p>
    <w:p w14:paraId="69CD74B3" w14:textId="204BC53D" w:rsidR="005A3180" w:rsidRPr="00095AF9" w:rsidRDefault="0026188F" w:rsidP="00095AF9">
      <w:pPr>
        <w:pStyle w:val="Style2"/>
        <w:numPr>
          <w:ilvl w:val="0"/>
          <w:numId w:val="0"/>
        </w:numPr>
        <w:jc w:val="both"/>
        <w:rPr>
          <w:b/>
        </w:rPr>
      </w:pPr>
      <w:r w:rsidRPr="00095AF9">
        <w:rPr>
          <w:b/>
        </w:rPr>
        <w:t>Candidates who submit insufficient</w:t>
      </w:r>
      <w:r w:rsidR="00AF3350" w:rsidRPr="00095AF9">
        <w:rPr>
          <w:b/>
        </w:rPr>
        <w:t xml:space="preserve"> or </w:t>
      </w:r>
      <w:r w:rsidRPr="00095AF9">
        <w:rPr>
          <w:b/>
        </w:rPr>
        <w:t xml:space="preserve">no work: </w:t>
      </w:r>
    </w:p>
    <w:p w14:paraId="722B97D6" w14:textId="74A31D6E" w:rsidR="0026188F" w:rsidRDefault="0026188F" w:rsidP="00095AF9">
      <w:pPr>
        <w:pStyle w:val="Style2"/>
      </w:pPr>
      <w:r>
        <w:t>When a candidate submits no work whatsoever, the candidate will not be awarded a mark of zero</w:t>
      </w:r>
      <w:r w:rsidR="0051016B">
        <w:t xml:space="preserve">; </w:t>
      </w:r>
      <w:proofErr w:type="gramStart"/>
      <w:r w:rsidR="0051016B">
        <w:t>instead</w:t>
      </w:r>
      <w:proofErr w:type="gramEnd"/>
      <w:r>
        <w:t xml:space="preserve"> </w:t>
      </w:r>
      <w:r w:rsidR="0051016B">
        <w:t>t</w:t>
      </w:r>
      <w:r>
        <w:t xml:space="preserve">he candidate will be reported to the awarding body as absent. </w:t>
      </w:r>
    </w:p>
    <w:p w14:paraId="22E5A5F7" w14:textId="5E957D00" w:rsidR="0026188F" w:rsidRDefault="0026188F" w:rsidP="00095AF9">
      <w:pPr>
        <w:pStyle w:val="Style2"/>
      </w:pPr>
      <w:r>
        <w:t xml:space="preserve">When the candidate submits insufficient work, the candidate’s work will be marked against the assessment criteria. The appropriate mark </w:t>
      </w:r>
      <w:proofErr w:type="gramStart"/>
      <w:r>
        <w:t>will be awarded</w:t>
      </w:r>
      <w:proofErr w:type="gramEnd"/>
      <w:r>
        <w:t xml:space="preserve">. If none of the work is worthy of credit, the candidate will be awarded a mark of </w:t>
      </w:r>
      <w:proofErr w:type="gramStart"/>
      <w:r>
        <w:t>zero.</w:t>
      </w:r>
      <w:proofErr w:type="gramEnd"/>
      <w:r>
        <w:t xml:space="preserve"> </w:t>
      </w:r>
    </w:p>
    <w:p w14:paraId="27E9648F" w14:textId="5077F950" w:rsidR="0026188F" w:rsidRPr="00095AF9" w:rsidRDefault="0026188F" w:rsidP="00095AF9">
      <w:pPr>
        <w:pStyle w:val="Style2"/>
        <w:numPr>
          <w:ilvl w:val="0"/>
          <w:numId w:val="0"/>
        </w:numPr>
        <w:jc w:val="both"/>
        <w:rPr>
          <w:b/>
        </w:rPr>
      </w:pPr>
      <w:r w:rsidRPr="00095AF9">
        <w:rPr>
          <w:b/>
        </w:rPr>
        <w:t>Revealing marks to candidates:</w:t>
      </w:r>
    </w:p>
    <w:p w14:paraId="25A45B90" w14:textId="4E4B360C" w:rsidR="0026188F" w:rsidRDefault="0026188F" w:rsidP="00095AF9">
      <w:pPr>
        <w:pStyle w:val="Style2"/>
      </w:pPr>
      <w:r>
        <w:t xml:space="preserve">The </w:t>
      </w:r>
      <w:r w:rsidR="00226E4A">
        <w:t>school</w:t>
      </w:r>
      <w:r>
        <w:t xml:space="preserve"> will reveal </w:t>
      </w:r>
      <w:proofErr w:type="gramStart"/>
      <w:r w:rsidR="0051016B">
        <w:t>internally</w:t>
      </w:r>
      <w:r w:rsidR="00BE5FA0">
        <w:t>-</w:t>
      </w:r>
      <w:r>
        <w:t>assessed</w:t>
      </w:r>
      <w:proofErr w:type="gramEnd"/>
      <w:r>
        <w:t xml:space="preserve"> marks to candidates, as a candidate may request a review of the </w:t>
      </w:r>
      <w:r w:rsidR="00226E4A">
        <w:t>school</w:t>
      </w:r>
      <w:r w:rsidR="00BE5FA0">
        <w:t>-</w:t>
      </w:r>
      <w:r>
        <w:t xml:space="preserve">assessed mark. </w:t>
      </w:r>
    </w:p>
    <w:p w14:paraId="1CF75A2B" w14:textId="17EFD337" w:rsidR="0061477C" w:rsidRPr="00095AF9" w:rsidRDefault="0061477C" w:rsidP="00095AF9">
      <w:pPr>
        <w:pStyle w:val="Style2"/>
        <w:numPr>
          <w:ilvl w:val="0"/>
          <w:numId w:val="0"/>
        </w:numPr>
        <w:jc w:val="both"/>
        <w:rPr>
          <w:b/>
        </w:rPr>
      </w:pPr>
      <w:r w:rsidRPr="00095AF9">
        <w:rPr>
          <w:b/>
        </w:rPr>
        <w:t xml:space="preserve">Candidates who request a review of the </w:t>
      </w:r>
      <w:r w:rsidR="00226E4A" w:rsidRPr="00095AF9">
        <w:rPr>
          <w:b/>
        </w:rPr>
        <w:t>school</w:t>
      </w:r>
      <w:r w:rsidRPr="00095AF9">
        <w:rPr>
          <w:b/>
        </w:rPr>
        <w:t>’s mark:</w:t>
      </w:r>
    </w:p>
    <w:p w14:paraId="5DCC3DD8" w14:textId="44603BE1" w:rsidR="0061477C" w:rsidRDefault="0061477C" w:rsidP="00095AF9">
      <w:pPr>
        <w:pStyle w:val="Style2"/>
      </w:pPr>
      <w:r>
        <w:t xml:space="preserve">Any review will be undertaken before marks </w:t>
      </w:r>
      <w:proofErr w:type="gramStart"/>
      <w:r>
        <w:t>are submitted</w:t>
      </w:r>
      <w:proofErr w:type="gramEnd"/>
      <w:r>
        <w:t xml:space="preserve"> to the awarding body. </w:t>
      </w:r>
    </w:p>
    <w:p w14:paraId="3AE6109D" w14:textId="3DA35E6C" w:rsidR="0061477C" w:rsidRDefault="0061477C" w:rsidP="00095AF9">
      <w:pPr>
        <w:pStyle w:val="Style2"/>
      </w:pPr>
      <w:r>
        <w:t xml:space="preserve">Sufficient time </w:t>
      </w:r>
      <w:proofErr w:type="gramStart"/>
      <w:r>
        <w:t>will be given</w:t>
      </w:r>
      <w:proofErr w:type="gramEnd"/>
      <w:r>
        <w:t xml:space="preserve"> to candidates in order to allow them to review copies of material, as necessary, and reach a decision. </w:t>
      </w:r>
    </w:p>
    <w:p w14:paraId="3F6A1FB7" w14:textId="548252F3" w:rsidR="0061477C" w:rsidRDefault="0061477C" w:rsidP="00095AF9">
      <w:pPr>
        <w:pStyle w:val="Style2"/>
      </w:pPr>
      <w:r>
        <w:t xml:space="preserve">The </w:t>
      </w:r>
      <w:r w:rsidR="00226E4A">
        <w:t>school</w:t>
      </w:r>
      <w:r>
        <w:t xml:space="preserve"> will allocate sufficient time for the review to be completed, making changes to marks where necessary and informing the candidate of any changes, all before the awarding body’s deadline. </w:t>
      </w:r>
    </w:p>
    <w:p w14:paraId="717DA28F" w14:textId="2FC0A8CD" w:rsidR="0061477C" w:rsidRDefault="0061477C" w:rsidP="00095AF9">
      <w:pPr>
        <w:pStyle w:val="Style2"/>
      </w:pPr>
      <w:proofErr w:type="gramStart"/>
      <w:r>
        <w:t>The review will be carried out by an appropriate assessor who has no previous involvement in the assessment of the candidate’s work and has no personal interest in</w:t>
      </w:r>
      <w:proofErr w:type="gramEnd"/>
      <w:r>
        <w:t xml:space="preserve"> the review. </w:t>
      </w:r>
    </w:p>
    <w:p w14:paraId="40F5D659" w14:textId="6B9893F0" w:rsidR="00333E5F" w:rsidRDefault="0061477C" w:rsidP="001C59CD">
      <w:pPr>
        <w:pStyle w:val="Style2"/>
      </w:pPr>
      <w:r>
        <w:t xml:space="preserve">The </w:t>
      </w:r>
      <w:r w:rsidR="00226E4A">
        <w:t>school</w:t>
      </w:r>
      <w:r>
        <w:t xml:space="preserve"> will ensure that all candidates are aware that </w:t>
      </w:r>
      <w:r w:rsidR="00E80E76">
        <w:t>school-</w:t>
      </w:r>
      <w:r>
        <w:t>assessed marks are subject to change through the moderation process.</w:t>
      </w:r>
    </w:p>
    <w:p w14:paraId="57705865" w14:textId="77777777" w:rsidR="001C59CD" w:rsidRPr="001C59CD" w:rsidRDefault="001C59CD" w:rsidP="001C59CD">
      <w:pPr>
        <w:pStyle w:val="Style2"/>
        <w:numPr>
          <w:ilvl w:val="0"/>
          <w:numId w:val="0"/>
        </w:numPr>
        <w:ind w:left="792"/>
      </w:pPr>
    </w:p>
    <w:p w14:paraId="334844BC" w14:textId="42EAB385" w:rsidR="004A1108" w:rsidRPr="00095AF9" w:rsidRDefault="004A1108" w:rsidP="00095AF9">
      <w:pPr>
        <w:pStyle w:val="Style2"/>
        <w:numPr>
          <w:ilvl w:val="0"/>
          <w:numId w:val="0"/>
        </w:numPr>
        <w:jc w:val="both"/>
        <w:rPr>
          <w:b/>
        </w:rPr>
      </w:pPr>
      <w:r w:rsidRPr="00095AF9">
        <w:rPr>
          <w:b/>
        </w:rPr>
        <w:t xml:space="preserve">Internal standardisation: </w:t>
      </w:r>
    </w:p>
    <w:p w14:paraId="70453799" w14:textId="39495C7B" w:rsidR="004A1108" w:rsidRDefault="004A1108" w:rsidP="00095AF9">
      <w:pPr>
        <w:pStyle w:val="Style2"/>
      </w:pPr>
      <w:r>
        <w:t>The marker will indicate on cand</w:t>
      </w:r>
      <w:r w:rsidR="00C804B5">
        <w:t>idates’</w:t>
      </w:r>
      <w:r>
        <w:t xml:space="preserve"> work, or on the cover sheet of the work, the date of marking. </w:t>
      </w:r>
    </w:p>
    <w:p w14:paraId="6EDABB5E" w14:textId="4D80C52D" w:rsidR="004A1108" w:rsidRDefault="004A1108" w:rsidP="00095AF9">
      <w:pPr>
        <w:pStyle w:val="Style2"/>
      </w:pPr>
      <w:r>
        <w:t xml:space="preserve">All markers involved in the </w:t>
      </w:r>
      <w:r w:rsidR="00226E4A">
        <w:t>school</w:t>
      </w:r>
      <w:r w:rsidR="00BE5FA0">
        <w:t>-</w:t>
      </w:r>
      <w:r>
        <w:t xml:space="preserve">assessed marking will work to common standards. </w:t>
      </w:r>
    </w:p>
    <w:p w14:paraId="769D5BA9" w14:textId="6B4F3FF3" w:rsidR="004A1108" w:rsidRDefault="00D6605E" w:rsidP="00095AF9">
      <w:pPr>
        <w:pStyle w:val="Style2"/>
      </w:pPr>
      <w:r>
        <w:t>When internally standardising, the following process will be followed:</w:t>
      </w:r>
    </w:p>
    <w:p w14:paraId="19350734" w14:textId="5F152F4F" w:rsidR="00D6605E" w:rsidRPr="000466C0" w:rsidRDefault="00D6605E" w:rsidP="00095AF9">
      <w:pPr>
        <w:pStyle w:val="PolicyBullets"/>
        <w:rPr>
          <w:rFonts w:cstheme="minorHAnsi"/>
        </w:rPr>
      </w:pPr>
      <w:r>
        <w:t xml:space="preserve">In the first year of a new specification, </w:t>
      </w:r>
      <w:r w:rsidR="0051016B" w:rsidRPr="000466C0">
        <w:rPr>
          <w:rFonts w:cstheme="minorHAnsi"/>
        </w:rPr>
        <w:t xml:space="preserve">teaching staff will </w:t>
      </w:r>
      <w:r w:rsidRPr="000466C0">
        <w:rPr>
          <w:rFonts w:cstheme="minorHAnsi"/>
        </w:rPr>
        <w:t xml:space="preserve">participate in awarding body training. </w:t>
      </w:r>
    </w:p>
    <w:p w14:paraId="17512C14" w14:textId="42FC72F4" w:rsidR="00D6605E" w:rsidRDefault="00D6605E" w:rsidP="00095AF9">
      <w:pPr>
        <w:pStyle w:val="PolicyBullets"/>
      </w:pPr>
      <w:r>
        <w:t xml:space="preserve">In subsequent years, obtain exemplar material provided by the awarding body and use the </w:t>
      </w:r>
      <w:r w:rsidR="00226E4A">
        <w:t>school</w:t>
      </w:r>
      <w:r>
        <w:t xml:space="preserve">’s own archive material. </w:t>
      </w:r>
    </w:p>
    <w:p w14:paraId="3A4ADFF2" w14:textId="4CC669FE" w:rsidR="00D6605E" w:rsidRDefault="0051016B" w:rsidP="00095AF9">
      <w:pPr>
        <w:pStyle w:val="PolicyBullets"/>
      </w:pPr>
      <w:r>
        <w:t>When holding a trial marking session, all</w:t>
      </w:r>
      <w:r w:rsidR="00D6605E">
        <w:t xml:space="preserve"> </w:t>
      </w:r>
      <w:r w:rsidR="00D6605E" w:rsidRPr="000466C0">
        <w:rPr>
          <w:rFonts w:cstheme="minorHAnsi"/>
        </w:rPr>
        <w:t>teachers involved</w:t>
      </w:r>
      <w:r w:rsidR="00D6605E">
        <w:t xml:space="preserve"> in assessment</w:t>
      </w:r>
      <w:r>
        <w:t xml:space="preserve"> will be included</w:t>
      </w:r>
      <w:r w:rsidR="00D6605E">
        <w:t xml:space="preserve">. </w:t>
      </w:r>
    </w:p>
    <w:p w14:paraId="77AC9E37" w14:textId="55186214" w:rsidR="00D6605E" w:rsidRDefault="00D6605E" w:rsidP="00095AF9">
      <w:pPr>
        <w:pStyle w:val="PolicyBullets"/>
      </w:pPr>
      <w:r>
        <w:t xml:space="preserve">Compare standards through </w:t>
      </w:r>
      <w:proofErr w:type="gramStart"/>
      <w:r>
        <w:t>cross-marking</w:t>
      </w:r>
      <w:proofErr w:type="gramEnd"/>
      <w:r>
        <w:t xml:space="preserve"> a small sample of work. </w:t>
      </w:r>
    </w:p>
    <w:p w14:paraId="31CC8034" w14:textId="77777777" w:rsidR="00D6605E" w:rsidRDefault="00D6605E" w:rsidP="00095AF9">
      <w:pPr>
        <w:pStyle w:val="PolicyBullets"/>
      </w:pPr>
      <w:r>
        <w:t xml:space="preserve">Agree upon a common understanding of the assessment criteria. </w:t>
      </w:r>
    </w:p>
    <w:p w14:paraId="467B1AFF" w14:textId="77777777" w:rsidR="00D6605E" w:rsidRDefault="00D6605E" w:rsidP="00095AF9">
      <w:pPr>
        <w:pStyle w:val="PolicyBullets"/>
      </w:pPr>
      <w:r>
        <w:t xml:space="preserve">Repeat the trial marking/cross-marking exercise. </w:t>
      </w:r>
    </w:p>
    <w:p w14:paraId="266460CA" w14:textId="39C6A248" w:rsidR="00D6605E" w:rsidRDefault="00D6605E" w:rsidP="00095AF9">
      <w:pPr>
        <w:pStyle w:val="PolicyBullets"/>
      </w:pPr>
      <w:r>
        <w:t xml:space="preserve">Ensure that any discrepancies in marking are resolved. </w:t>
      </w:r>
    </w:p>
    <w:p w14:paraId="144C6B0B" w14:textId="59FAA4B5" w:rsidR="00D6605E" w:rsidRPr="000466C0" w:rsidRDefault="00D6605E" w:rsidP="00095AF9">
      <w:pPr>
        <w:pStyle w:val="PolicyBullets"/>
        <w:rPr>
          <w:rFonts w:cstheme="minorHAnsi"/>
        </w:rPr>
      </w:pPr>
      <w:r>
        <w:t xml:space="preserve">Hold a further meeting to make final adjustments or assign responsibility for comparing marks to the </w:t>
      </w:r>
      <w:r w:rsidRPr="000466C0">
        <w:rPr>
          <w:rFonts w:cstheme="minorHAnsi"/>
        </w:rPr>
        <w:t xml:space="preserve">teacher responsible for internal standardisation. </w:t>
      </w:r>
    </w:p>
    <w:p w14:paraId="7F8DACFC" w14:textId="18CE0146" w:rsidR="00D6605E" w:rsidRPr="000466C0" w:rsidRDefault="00D6605E" w:rsidP="00095AF9">
      <w:pPr>
        <w:pStyle w:val="PolicyBullets"/>
        <w:rPr>
          <w:rFonts w:cstheme="minorHAnsi"/>
        </w:rPr>
      </w:pPr>
      <w:r w:rsidRPr="000466C0">
        <w:rPr>
          <w:rFonts w:cstheme="minorHAnsi"/>
        </w:rPr>
        <w:t xml:space="preserve">If there are inconsistencies, ensure that the teacher(s) concerned </w:t>
      </w:r>
      <w:proofErr w:type="gramStart"/>
      <w:r w:rsidRPr="000466C0">
        <w:rPr>
          <w:rFonts w:cstheme="minorHAnsi"/>
        </w:rPr>
        <w:t>make(s) adjustments to</w:t>
      </w:r>
      <w:proofErr w:type="gramEnd"/>
      <w:r w:rsidRPr="000466C0">
        <w:rPr>
          <w:rFonts w:cstheme="minorHAnsi"/>
        </w:rPr>
        <w:t xml:space="preserve"> their marks. </w:t>
      </w:r>
    </w:p>
    <w:p w14:paraId="3213A68F" w14:textId="6DA5AEDB" w:rsidR="00D6605E" w:rsidRDefault="0051016B" w:rsidP="00095AF9">
      <w:pPr>
        <w:pStyle w:val="PolicyBullets"/>
      </w:pPr>
      <w:proofErr w:type="gramStart"/>
      <w:r w:rsidRPr="000466C0">
        <w:rPr>
          <w:rFonts w:cstheme="minorHAnsi"/>
        </w:rPr>
        <w:t>New marks will be checked by t</w:t>
      </w:r>
      <w:r w:rsidR="00D6605E" w:rsidRPr="000466C0">
        <w:rPr>
          <w:rFonts w:cstheme="minorHAnsi"/>
        </w:rPr>
        <w:t>he teacher responsible</w:t>
      </w:r>
      <w:r w:rsidR="00D6605E">
        <w:t xml:space="preserve"> for internal standardisation</w:t>
      </w:r>
      <w:proofErr w:type="gramEnd"/>
      <w:r w:rsidR="00D6605E">
        <w:t xml:space="preserve">. </w:t>
      </w:r>
    </w:p>
    <w:p w14:paraId="415DF3FC" w14:textId="5A554948" w:rsidR="00D6605E" w:rsidRDefault="00D6605E" w:rsidP="00095AF9">
      <w:pPr>
        <w:pStyle w:val="PolicyBullets"/>
      </w:pPr>
      <w:r>
        <w:t>Retain evidence that internal standardisation has been carried out.</w:t>
      </w:r>
    </w:p>
    <w:p w14:paraId="1C6382BF" w14:textId="0BFBFE6D" w:rsidR="00B93CEE" w:rsidRDefault="00D6605E" w:rsidP="00095AF9">
      <w:pPr>
        <w:pStyle w:val="PolicyBullets"/>
      </w:pPr>
      <w:r>
        <w:t xml:space="preserve">Keep candidates’ work in secure storage until after the closing date for enquiries about results for the series concerned or until any appeal, malpractice or other results enquiry </w:t>
      </w:r>
      <w:proofErr w:type="gramStart"/>
      <w:r>
        <w:t>has been completed</w:t>
      </w:r>
      <w:proofErr w:type="gramEnd"/>
      <w:r>
        <w:t xml:space="preserve">, whichever is later. </w:t>
      </w:r>
    </w:p>
    <w:p w14:paraId="5D5C4601" w14:textId="77777777" w:rsidR="001C59CD" w:rsidRDefault="001C59CD" w:rsidP="001C59CD">
      <w:pPr>
        <w:pStyle w:val="PolicyBullets"/>
        <w:numPr>
          <w:ilvl w:val="0"/>
          <w:numId w:val="0"/>
        </w:numPr>
        <w:ind w:left="1922"/>
      </w:pPr>
    </w:p>
    <w:p w14:paraId="63BE59F5" w14:textId="5313EFAF" w:rsidR="00667ECF" w:rsidRPr="00044B93" w:rsidRDefault="00B93CEE" w:rsidP="00044B93">
      <w:pPr>
        <w:pStyle w:val="Style2"/>
        <w:numPr>
          <w:ilvl w:val="0"/>
          <w:numId w:val="0"/>
        </w:numPr>
        <w:jc w:val="both"/>
        <w:rPr>
          <w:b/>
        </w:rPr>
      </w:pPr>
      <w:r w:rsidRPr="00044B93">
        <w:rPr>
          <w:b/>
        </w:rPr>
        <w:t>Submission of work and marks for moderation:</w:t>
      </w:r>
    </w:p>
    <w:p w14:paraId="26A37AE1" w14:textId="673F1DE3" w:rsidR="00667ECF" w:rsidRDefault="00B93CEE" w:rsidP="00044B93">
      <w:pPr>
        <w:pStyle w:val="Style2"/>
      </w:pPr>
      <w:r>
        <w:t xml:space="preserve">The </w:t>
      </w:r>
      <w:r w:rsidR="00226E4A">
        <w:t>school</w:t>
      </w:r>
      <w:r>
        <w:t xml:space="preserve"> will set internal </w:t>
      </w:r>
      <w:proofErr w:type="gramStart"/>
      <w:r>
        <w:t>deadlines which</w:t>
      </w:r>
      <w:proofErr w:type="gramEnd"/>
      <w:r>
        <w:t xml:space="preserve"> will allow accommodation for any candidate requests for reviews of marking and to meet the deadline for submission of marks </w:t>
      </w:r>
      <w:r w:rsidR="0051016B">
        <w:t xml:space="preserve">of </w:t>
      </w:r>
      <w:r>
        <w:t xml:space="preserve">candidates’ work, as published by the awarding body. </w:t>
      </w:r>
    </w:p>
    <w:p w14:paraId="5A4FCBDB" w14:textId="0BB4122F" w:rsidR="00B93CEE" w:rsidRDefault="00B93CEE" w:rsidP="00044B93">
      <w:pPr>
        <w:pStyle w:val="Style2"/>
      </w:pPr>
      <w:r>
        <w:t xml:space="preserve">The work submitted </w:t>
      </w:r>
      <w:proofErr w:type="gramStart"/>
      <w:r>
        <w:t>will be carefully checked</w:t>
      </w:r>
      <w:proofErr w:type="gramEnd"/>
      <w:r>
        <w:t xml:space="preserve"> for addition and transcription errors before submission. </w:t>
      </w:r>
    </w:p>
    <w:p w14:paraId="0C47A452" w14:textId="41F6A6C6" w:rsidR="00B93CEE" w:rsidRDefault="00BE5FA0" w:rsidP="00044B93">
      <w:pPr>
        <w:pStyle w:val="Style2"/>
      </w:pPr>
      <w:r>
        <w:t>The</w:t>
      </w:r>
      <w:r w:rsidR="00B93CEE">
        <w:t xml:space="preserve"> </w:t>
      </w:r>
      <w:r w:rsidR="00226E4A">
        <w:t>school</w:t>
      </w:r>
      <w:r w:rsidR="00B93CEE">
        <w:t xml:space="preserve"> will submit the supporting documentation required by the awarding body, these include: </w:t>
      </w:r>
    </w:p>
    <w:p w14:paraId="5D9D9FEC" w14:textId="39BBF5C1" w:rsidR="00B93CEE" w:rsidRDefault="00B93CEE" w:rsidP="00044B93">
      <w:pPr>
        <w:pStyle w:val="PolicyBullets"/>
      </w:pPr>
      <w:r>
        <w:t xml:space="preserve">Authentication of candidates’ work. </w:t>
      </w:r>
    </w:p>
    <w:p w14:paraId="1A832892" w14:textId="3C865A48" w:rsidR="00B93CEE" w:rsidRDefault="00B93CEE" w:rsidP="00044B93">
      <w:pPr>
        <w:pStyle w:val="PolicyBullets"/>
      </w:pPr>
      <w:r>
        <w:t xml:space="preserve">Confirmation that internal standardisation has been undertaken. </w:t>
      </w:r>
    </w:p>
    <w:p w14:paraId="09424690" w14:textId="2FC0C306" w:rsidR="00B93CEE" w:rsidRDefault="00B93CEE" w:rsidP="00044B93">
      <w:pPr>
        <w:pStyle w:val="PolicyBullets"/>
        <w:spacing w:after="240"/>
      </w:pPr>
      <w:r>
        <w:t xml:space="preserve">Any subject-specific information. </w:t>
      </w:r>
    </w:p>
    <w:p w14:paraId="110697B2" w14:textId="1CECFA40" w:rsidR="00B93CEE" w:rsidRPr="00667ECF" w:rsidRDefault="00B93CEE" w:rsidP="00044B93">
      <w:pPr>
        <w:pStyle w:val="Style2"/>
      </w:pPr>
      <w:r>
        <w:t xml:space="preserve">In exceptional cases, it is possible to obtain an extension to the deadline for submission of marks. </w:t>
      </w:r>
    </w:p>
    <w:p w14:paraId="0A50ABFA" w14:textId="3CC9909C" w:rsidR="00667ECF" w:rsidRPr="00044B93" w:rsidRDefault="00F3582A" w:rsidP="00044B93">
      <w:pPr>
        <w:pStyle w:val="Style2"/>
        <w:numPr>
          <w:ilvl w:val="0"/>
          <w:numId w:val="0"/>
        </w:numPr>
        <w:jc w:val="both"/>
        <w:rPr>
          <w:b/>
        </w:rPr>
      </w:pPr>
      <w:r w:rsidRPr="00044B93">
        <w:rPr>
          <w:b/>
        </w:rPr>
        <w:t>Storage and retention of work after submission and marks</w:t>
      </w:r>
      <w:r w:rsidR="00B93CEE" w:rsidRPr="00044B93">
        <w:rPr>
          <w:b/>
        </w:rPr>
        <w:t>:</w:t>
      </w:r>
    </w:p>
    <w:p w14:paraId="6CD631ED" w14:textId="6E7A37A0" w:rsidR="00667ECF" w:rsidRDefault="00B93CEE" w:rsidP="00044B93">
      <w:pPr>
        <w:pStyle w:val="Style2"/>
      </w:pPr>
      <w:r>
        <w:t xml:space="preserve">The </w:t>
      </w:r>
      <w:r w:rsidR="00226E4A">
        <w:t>school</w:t>
      </w:r>
      <w:r>
        <w:t xml:space="preserve"> will keep a record of names and candidate numbers for candidates whose work was included in the sample sent to the moderator. </w:t>
      </w:r>
    </w:p>
    <w:p w14:paraId="757F36F9" w14:textId="72EA2F3A" w:rsidR="00B93CEE" w:rsidRDefault="00B93CEE" w:rsidP="00044B93">
      <w:pPr>
        <w:pStyle w:val="Style2"/>
      </w:pPr>
      <w:r>
        <w:t xml:space="preserve">The </w:t>
      </w:r>
      <w:r w:rsidR="00226E4A">
        <w:t>school</w:t>
      </w:r>
      <w:r>
        <w:t xml:space="preserve"> will retain marked work under secure conditions until after the deadline for enquiries about results or until any appeal, malpractice or other results enquiry </w:t>
      </w:r>
      <w:proofErr w:type="gramStart"/>
      <w:r>
        <w:t>has been completed</w:t>
      </w:r>
      <w:proofErr w:type="gramEnd"/>
      <w:r>
        <w:t>, whichever is later.</w:t>
      </w:r>
    </w:p>
    <w:p w14:paraId="6598AFDB" w14:textId="58D0AEC3" w:rsidR="00B93CEE" w:rsidRDefault="00B93CEE" w:rsidP="00044B93">
      <w:pPr>
        <w:pStyle w:val="Style2"/>
      </w:pPr>
      <w:r>
        <w:t xml:space="preserve">Where work is stored electronically, the </w:t>
      </w:r>
      <w:r w:rsidR="00226E4A">
        <w:t>school</w:t>
      </w:r>
      <w:r>
        <w:t xml:space="preserve"> will implement measures to protect work from corruption</w:t>
      </w:r>
      <w:r w:rsidR="00684B6A">
        <w:t xml:space="preserve"> and have back-up procedures in place. </w:t>
      </w:r>
    </w:p>
    <w:p w14:paraId="1ED71D30" w14:textId="4EE879B3" w:rsidR="00684B6A" w:rsidRDefault="00684B6A" w:rsidP="00044B93">
      <w:pPr>
        <w:pStyle w:val="Style2"/>
      </w:pPr>
      <w:r>
        <w:t xml:space="preserve">If retention of the work is a problem due to the nature of the work, the </w:t>
      </w:r>
      <w:r w:rsidR="00226E4A">
        <w:t>school</w:t>
      </w:r>
      <w:r>
        <w:t xml:space="preserve"> will keep evidence, such as photos</w:t>
      </w:r>
      <w:r w:rsidR="0051016B">
        <w:t xml:space="preserve">. For instance, in relation to food technology assessments, photos </w:t>
      </w:r>
      <w:proofErr w:type="gramStart"/>
      <w:r w:rsidR="0051016B">
        <w:t>will be taken</w:t>
      </w:r>
      <w:proofErr w:type="gramEnd"/>
      <w:r w:rsidR="0051016B">
        <w:t xml:space="preserve"> during the non-examination assessment, due to the perishable nature of the work</w:t>
      </w:r>
      <w:r>
        <w:t xml:space="preserve">. </w:t>
      </w:r>
    </w:p>
    <w:p w14:paraId="129965D2" w14:textId="73ED66BC" w:rsidR="00667ECF" w:rsidRPr="00667ECF" w:rsidRDefault="00684B6A" w:rsidP="00044B93">
      <w:pPr>
        <w:pStyle w:val="Style2"/>
      </w:pPr>
      <w:r>
        <w:t xml:space="preserve">Awarding bodies will retain the work of some candidates for archive and standardisation purposes. </w:t>
      </w:r>
    </w:p>
    <w:p w14:paraId="113429F1" w14:textId="32C18469" w:rsidR="00F3582A" w:rsidRDefault="00F3582A" w:rsidP="00F47112">
      <w:pPr>
        <w:pStyle w:val="Heading10"/>
        <w:jc w:val="both"/>
        <w:rPr>
          <w:b/>
          <w:sz w:val="28"/>
        </w:rPr>
      </w:pPr>
      <w:bookmarkStart w:id="19" w:name="_Appeals"/>
      <w:bookmarkEnd w:id="19"/>
      <w:r w:rsidRPr="00F3582A">
        <w:rPr>
          <w:b/>
          <w:sz w:val="28"/>
        </w:rPr>
        <w:t>Appeals</w:t>
      </w:r>
    </w:p>
    <w:p w14:paraId="450171FF" w14:textId="79BB2C85" w:rsidR="00667ECF" w:rsidRPr="00667ECF" w:rsidRDefault="00B97313" w:rsidP="00044B93">
      <w:pPr>
        <w:pStyle w:val="Style2"/>
        <w:jc w:val="both"/>
      </w:pPr>
      <w:r>
        <w:t xml:space="preserve">An appeal </w:t>
      </w:r>
      <w:proofErr w:type="gramStart"/>
      <w:r>
        <w:t>can only be made</w:t>
      </w:r>
      <w:proofErr w:type="gramEnd"/>
      <w:r>
        <w:t xml:space="preserve"> against the process that produced the mark to be submitted to the relevant awarding body; no appeal against the actual mark is accepted. For example, an appeal can be requested should a candidate or parent feel the correct marking, moderating and standardising procedure </w:t>
      </w:r>
      <w:proofErr w:type="gramStart"/>
      <w:r>
        <w:t>has</w:t>
      </w:r>
      <w:proofErr w:type="gramEnd"/>
      <w:r>
        <w:t xml:space="preserve"> not been followed. </w:t>
      </w:r>
    </w:p>
    <w:p w14:paraId="4130F37E" w14:textId="3FCC02A2" w:rsidR="00667ECF" w:rsidRDefault="00B97313" w:rsidP="00044B93">
      <w:pPr>
        <w:pStyle w:val="Style2"/>
        <w:jc w:val="both"/>
      </w:pPr>
      <w:r>
        <w:t xml:space="preserve">Appeals </w:t>
      </w:r>
      <w:proofErr w:type="gramStart"/>
      <w:r>
        <w:t>will be made</w:t>
      </w:r>
      <w:proofErr w:type="gramEnd"/>
      <w:r>
        <w:t xml:space="preserve"> as soon as possible</w:t>
      </w:r>
      <w:r w:rsidR="0051016B">
        <w:t xml:space="preserve"> once marks have been released</w:t>
      </w:r>
      <w:r>
        <w:t xml:space="preserve">. </w:t>
      </w:r>
    </w:p>
    <w:p w14:paraId="647C4C30" w14:textId="0C7A149A" w:rsidR="00B97313" w:rsidRDefault="00B97313" w:rsidP="00044B93">
      <w:pPr>
        <w:pStyle w:val="Style2"/>
        <w:jc w:val="both"/>
      </w:pPr>
      <w:r>
        <w:t xml:space="preserve">Appeals will only be allowed if they are </w:t>
      </w:r>
      <w:proofErr w:type="gramStart"/>
      <w:r>
        <w:t>requested</w:t>
      </w:r>
      <w:proofErr w:type="gramEnd"/>
      <w:r>
        <w:t xml:space="preserve"> at least </w:t>
      </w:r>
      <w:r w:rsidRPr="000466C0">
        <w:t>four weeks</w:t>
      </w:r>
      <w:r>
        <w:t xml:space="preserve"> before the end of the last externally assessed paper in that examination series. </w:t>
      </w:r>
    </w:p>
    <w:p w14:paraId="427512FD" w14:textId="5A16CA2C" w:rsidR="00B23C2B" w:rsidRDefault="00B23C2B" w:rsidP="00044B93">
      <w:pPr>
        <w:pStyle w:val="Style2"/>
        <w:jc w:val="both"/>
      </w:pPr>
      <w:r>
        <w:t xml:space="preserve">Appeals </w:t>
      </w:r>
      <w:proofErr w:type="gramStart"/>
      <w:r>
        <w:t>will be made</w:t>
      </w:r>
      <w:proofErr w:type="gramEnd"/>
      <w:r>
        <w:t xml:space="preserve"> to the </w:t>
      </w:r>
      <w:proofErr w:type="spellStart"/>
      <w:r w:rsidR="0051016B" w:rsidRPr="000466C0">
        <w:t>headteacher</w:t>
      </w:r>
      <w:proofErr w:type="spellEnd"/>
      <w:r w:rsidRPr="00B23C2B">
        <w:rPr>
          <w:color w:val="FFC000"/>
        </w:rPr>
        <w:t xml:space="preserve"> </w:t>
      </w:r>
      <w:r w:rsidR="00226E4A" w:rsidRPr="00226E4A">
        <w:t>who will investigate the appeal.</w:t>
      </w:r>
    </w:p>
    <w:p w14:paraId="6F3B03E3" w14:textId="02F3C46B" w:rsidR="0009529C" w:rsidRDefault="0009529C" w:rsidP="00044B93">
      <w:pPr>
        <w:pStyle w:val="Style2"/>
        <w:jc w:val="both"/>
      </w:pPr>
      <w:r>
        <w:t xml:space="preserve">If an appeal results in a </w:t>
      </w:r>
      <w:r w:rsidR="006150B5">
        <w:t xml:space="preserve">change in the initially awarded mark, </w:t>
      </w:r>
      <w:r w:rsidR="00F50642">
        <w:t xml:space="preserve">then the relevant awarding body will be informed. </w:t>
      </w:r>
    </w:p>
    <w:p w14:paraId="5CC2F2BE" w14:textId="63867133" w:rsidR="00F50642" w:rsidRDefault="00F50642" w:rsidP="00044B93">
      <w:pPr>
        <w:pStyle w:val="Style2"/>
        <w:jc w:val="both"/>
      </w:pPr>
      <w:r>
        <w:t xml:space="preserve">The appellant </w:t>
      </w:r>
      <w:proofErr w:type="gramStart"/>
      <w:r>
        <w:t>will be informed</w:t>
      </w:r>
      <w:proofErr w:type="gramEnd"/>
      <w:r>
        <w:t xml:space="preserve"> in writing</w:t>
      </w:r>
      <w:r w:rsidR="00F52391">
        <w:t xml:space="preserve"> of</w:t>
      </w:r>
      <w:r>
        <w:t xml:space="preserve"> the outcome of their appeal. </w:t>
      </w:r>
      <w:r w:rsidR="0051016B">
        <w:t xml:space="preserve">Further procedures </w:t>
      </w:r>
      <w:proofErr w:type="gramStart"/>
      <w:r w:rsidR="0051016B">
        <w:t>are outlined</w:t>
      </w:r>
      <w:proofErr w:type="gramEnd"/>
      <w:r w:rsidR="0051016B">
        <w:t xml:space="preserve"> in the </w:t>
      </w:r>
      <w:r w:rsidR="0051016B" w:rsidRPr="000466C0">
        <w:t>Exam Appeals Policy</w:t>
      </w:r>
      <w:r w:rsidR="0051016B">
        <w:t>.</w:t>
      </w:r>
    </w:p>
    <w:p w14:paraId="37B1AEF5" w14:textId="77777777" w:rsidR="000466C0" w:rsidRPr="00667ECF" w:rsidRDefault="000466C0" w:rsidP="000466C0">
      <w:pPr>
        <w:pStyle w:val="Style2"/>
        <w:numPr>
          <w:ilvl w:val="0"/>
          <w:numId w:val="0"/>
        </w:numPr>
        <w:ind w:left="792"/>
        <w:jc w:val="both"/>
      </w:pPr>
    </w:p>
    <w:p w14:paraId="7119D82D" w14:textId="637F27A0" w:rsidR="00F3582A" w:rsidRDefault="00F3582A" w:rsidP="00F47112">
      <w:pPr>
        <w:pStyle w:val="Heading10"/>
        <w:jc w:val="both"/>
        <w:rPr>
          <w:b/>
          <w:sz w:val="28"/>
        </w:rPr>
      </w:pPr>
      <w:bookmarkStart w:id="20" w:name="_Access_arrangements"/>
      <w:bookmarkEnd w:id="20"/>
      <w:r w:rsidRPr="00F3582A">
        <w:rPr>
          <w:b/>
          <w:sz w:val="28"/>
        </w:rPr>
        <w:t>Access arrangement</w:t>
      </w:r>
      <w:r>
        <w:rPr>
          <w:b/>
          <w:sz w:val="28"/>
        </w:rPr>
        <w:t>s</w:t>
      </w:r>
    </w:p>
    <w:p w14:paraId="20202182" w14:textId="5D61E523" w:rsidR="00667ECF" w:rsidRPr="00667ECF" w:rsidRDefault="00F50642" w:rsidP="007A3891">
      <w:pPr>
        <w:pStyle w:val="Style2"/>
        <w:jc w:val="both"/>
      </w:pPr>
      <w:r>
        <w:t xml:space="preserve">Awarding bodies’ specifications </w:t>
      </w:r>
      <w:proofErr w:type="gramStart"/>
      <w:r>
        <w:t>are developed</w:t>
      </w:r>
      <w:proofErr w:type="gramEnd"/>
      <w:r>
        <w:t xml:space="preserve"> to be compliant with equality legislation. Access arrangement</w:t>
      </w:r>
      <w:r w:rsidR="007A3891">
        <w:t>s</w:t>
      </w:r>
      <w:r>
        <w:t xml:space="preserve"> will be granted </w:t>
      </w:r>
      <w:proofErr w:type="gramStart"/>
      <w:r>
        <w:t>provided that</w:t>
      </w:r>
      <w:proofErr w:type="gramEnd"/>
      <w:r>
        <w:t xml:space="preserve"> these do not undermine the integrity of the qualification. </w:t>
      </w:r>
    </w:p>
    <w:p w14:paraId="4909EC50" w14:textId="4C97C62B" w:rsidR="00667ECF" w:rsidRDefault="00F50642" w:rsidP="00044B93">
      <w:pPr>
        <w:pStyle w:val="Style2"/>
        <w:jc w:val="both"/>
      </w:pPr>
      <w:r>
        <w:t xml:space="preserve">If a candidate has an access arrangement as part of their normal way of working within the </w:t>
      </w:r>
      <w:r w:rsidR="00F52391">
        <w:t>school</w:t>
      </w:r>
      <w:r>
        <w:t>, if possible, a similar arrangement will be organised.</w:t>
      </w:r>
    </w:p>
    <w:p w14:paraId="5FFF9BC4" w14:textId="75178F4C" w:rsidR="00F50642" w:rsidRDefault="00F52391" w:rsidP="00044B93">
      <w:pPr>
        <w:pStyle w:val="Style2"/>
        <w:jc w:val="both"/>
      </w:pPr>
      <w:r>
        <w:t xml:space="preserve">The school </w:t>
      </w:r>
      <w:r w:rsidR="00F50642">
        <w:t xml:space="preserve">will apply for access arrangements in advance of timetabled non-examination assessments. </w:t>
      </w:r>
    </w:p>
    <w:p w14:paraId="4D206CF9" w14:textId="31FD9034" w:rsidR="00F50642" w:rsidRPr="000466C0" w:rsidRDefault="00F50642" w:rsidP="00044B93">
      <w:pPr>
        <w:pStyle w:val="Style2"/>
        <w:jc w:val="both"/>
      </w:pPr>
      <w:r>
        <w:t>The</w:t>
      </w:r>
      <w:r>
        <w:rPr>
          <w:rFonts w:ascii="Arial" w:hAnsi="Arial" w:cs="Arial"/>
          <w:color w:val="222222"/>
          <w:shd w:val="clear" w:color="auto" w:fill="FFFFFF"/>
        </w:rPr>
        <w:t xml:space="preserve"> special educational needs coordinator (</w:t>
      </w:r>
      <w:proofErr w:type="spellStart"/>
      <w:r>
        <w:rPr>
          <w:rFonts w:ascii="Arial" w:hAnsi="Arial" w:cs="Arial"/>
          <w:color w:val="222222"/>
          <w:shd w:val="clear" w:color="auto" w:fill="FFFFFF"/>
        </w:rPr>
        <w:t>SENCo</w:t>
      </w:r>
      <w:proofErr w:type="spellEnd"/>
      <w:r>
        <w:rPr>
          <w:rFonts w:ascii="Arial" w:hAnsi="Arial" w:cs="Arial"/>
          <w:color w:val="222222"/>
          <w:shd w:val="clear" w:color="auto" w:fill="FFFFFF"/>
        </w:rPr>
        <w:t xml:space="preserve">) will ensure that all relevant </w:t>
      </w:r>
      <w:r w:rsidR="00C804B5">
        <w:rPr>
          <w:rFonts w:ascii="Arial" w:hAnsi="Arial" w:cs="Arial"/>
          <w:color w:val="222222"/>
          <w:shd w:val="clear" w:color="auto" w:fill="FFFFFF"/>
        </w:rPr>
        <w:t>staff</w:t>
      </w:r>
      <w:r>
        <w:rPr>
          <w:rFonts w:ascii="Arial" w:hAnsi="Arial" w:cs="Arial"/>
          <w:color w:val="222222"/>
          <w:shd w:val="clear" w:color="auto" w:fill="FFFFFF"/>
        </w:rPr>
        <w:t xml:space="preserve"> are aware of any access </w:t>
      </w:r>
      <w:proofErr w:type="gramStart"/>
      <w:r>
        <w:rPr>
          <w:rFonts w:ascii="Arial" w:hAnsi="Arial" w:cs="Arial"/>
          <w:color w:val="222222"/>
          <w:shd w:val="clear" w:color="auto" w:fill="FFFFFF"/>
        </w:rPr>
        <w:t>arrangements which</w:t>
      </w:r>
      <w:proofErr w:type="gramEnd"/>
      <w:r>
        <w:rPr>
          <w:rFonts w:ascii="Arial" w:hAnsi="Arial" w:cs="Arial"/>
          <w:color w:val="222222"/>
          <w:shd w:val="clear" w:color="auto" w:fill="FFFFFF"/>
        </w:rPr>
        <w:t xml:space="preserve"> need to be applied for in regards to non-examination assessments. </w:t>
      </w:r>
    </w:p>
    <w:p w14:paraId="6791E837" w14:textId="77777777" w:rsidR="000466C0" w:rsidRPr="00044B93" w:rsidRDefault="000466C0" w:rsidP="000466C0">
      <w:pPr>
        <w:pStyle w:val="Style2"/>
        <w:numPr>
          <w:ilvl w:val="0"/>
          <w:numId w:val="0"/>
        </w:numPr>
        <w:ind w:left="792"/>
        <w:jc w:val="both"/>
      </w:pPr>
    </w:p>
    <w:p w14:paraId="68645B0E" w14:textId="0BB23FC9" w:rsidR="00F3582A" w:rsidRDefault="00F3582A" w:rsidP="00F47112">
      <w:pPr>
        <w:pStyle w:val="Heading10"/>
        <w:jc w:val="both"/>
        <w:rPr>
          <w:b/>
          <w:sz w:val="28"/>
        </w:rPr>
      </w:pPr>
      <w:bookmarkStart w:id="21" w:name="_Special_consideration"/>
      <w:bookmarkEnd w:id="21"/>
      <w:r w:rsidRPr="00F3582A">
        <w:rPr>
          <w:b/>
          <w:sz w:val="28"/>
        </w:rPr>
        <w:t xml:space="preserve">Special consideration </w:t>
      </w:r>
    </w:p>
    <w:p w14:paraId="11D54F9D" w14:textId="65CC4B67" w:rsidR="00F50642" w:rsidRPr="00C804B5" w:rsidRDefault="00F50642" w:rsidP="00044B93">
      <w:pPr>
        <w:pStyle w:val="Style2"/>
        <w:jc w:val="both"/>
      </w:pPr>
      <w:r>
        <w:t>Candidates who are unexpectedly absent for one or more formally supervised session will not be eligible for special consideration</w:t>
      </w:r>
      <w:r w:rsidR="00636111">
        <w:t xml:space="preserve"> – t</w:t>
      </w:r>
      <w:r w:rsidRPr="00C804B5">
        <w:t xml:space="preserve">he candidate will be given an opportunity to make up the missed time. </w:t>
      </w:r>
    </w:p>
    <w:p w14:paraId="63D5EE68" w14:textId="60696DBC" w:rsidR="00F50642" w:rsidRDefault="0072711B" w:rsidP="00881B51">
      <w:pPr>
        <w:pStyle w:val="Style2"/>
      </w:pPr>
      <w:r>
        <w:t>Candidates who are absent for an acceptable reason on the day of an external examiner visiting may be given special consideration</w:t>
      </w:r>
      <w:r w:rsidR="00636111">
        <w:t xml:space="preserve"> – advice will be sought from the awarding body at the time of the candidate’s absence to arrange possible alternative assessment arrangements. </w:t>
      </w:r>
    </w:p>
    <w:p w14:paraId="2E022AA5" w14:textId="6019291C" w:rsidR="0072711B" w:rsidRDefault="0072711B" w:rsidP="00044B93">
      <w:pPr>
        <w:pStyle w:val="Style2"/>
        <w:spacing w:before="120"/>
        <w:jc w:val="both"/>
      </w:pPr>
      <w:r>
        <w:t>Candidates who were absent for some formally supervised sessions because they joined the course at a late stage will not be eligible for special consideration</w:t>
      </w:r>
      <w:r w:rsidR="00636111">
        <w:t xml:space="preserve"> – the</w:t>
      </w:r>
      <w:r>
        <w:t xml:space="preserve"> </w:t>
      </w:r>
      <w:r w:rsidR="00636111" w:rsidRPr="00C804B5">
        <w:t>candidate will be given an opportunity to make up the missed time.</w:t>
      </w:r>
    </w:p>
    <w:p w14:paraId="647AE884" w14:textId="4494E1F5" w:rsidR="00667ECF" w:rsidRPr="00C804B5" w:rsidRDefault="0072711B" w:rsidP="00044B93">
      <w:pPr>
        <w:pStyle w:val="Style2"/>
        <w:spacing w:before="120"/>
        <w:ind w:left="788" w:hanging="431"/>
        <w:jc w:val="both"/>
      </w:pPr>
      <w:r>
        <w:t xml:space="preserve">When another assessment opportunity prior to the series in which the candidate </w:t>
      </w:r>
      <w:r w:rsidR="00636111">
        <w:t xml:space="preserve">would receive </w:t>
      </w:r>
      <w:r>
        <w:t>certificates, candidates who were absent for an acceptable reason when their peers undertook the assessment will not be eligible for special consideration</w:t>
      </w:r>
      <w:r w:rsidR="00636111">
        <w:t xml:space="preserve"> – the </w:t>
      </w:r>
      <w:r w:rsidR="00636111" w:rsidRPr="00C804B5">
        <w:t xml:space="preserve">candidate will be allowed to submit the assessment in </w:t>
      </w:r>
      <w:r w:rsidR="00636111">
        <w:t xml:space="preserve">a </w:t>
      </w:r>
      <w:r w:rsidR="00636111" w:rsidRPr="00C804B5">
        <w:t>subsequent examination series.</w:t>
      </w:r>
    </w:p>
    <w:p w14:paraId="7013F2E2" w14:textId="054CE727" w:rsidR="0072711B" w:rsidRDefault="0072711B" w:rsidP="00044B93">
      <w:pPr>
        <w:pStyle w:val="Style2"/>
        <w:spacing w:before="120"/>
        <w:ind w:left="788" w:hanging="431"/>
        <w:jc w:val="both"/>
      </w:pPr>
      <w:r>
        <w:t xml:space="preserve">When there is not another upcoming opportunity for assessment and the candidate was absent for acceptable reasons when their peers undertook the assessment, the candidate may be eligible for special consideration. </w:t>
      </w:r>
    </w:p>
    <w:p w14:paraId="7650F09D" w14:textId="4E6DA071" w:rsidR="005E0837" w:rsidRDefault="005E0837" w:rsidP="00044B93">
      <w:pPr>
        <w:pStyle w:val="Style2"/>
        <w:jc w:val="both"/>
      </w:pPr>
      <w:r>
        <w:t>In order for a</w:t>
      </w:r>
      <w:r w:rsidR="0072711B">
        <w:t xml:space="preserve"> candidate who has been absent </w:t>
      </w:r>
      <w:r>
        <w:t>to be eligible for special consideration</w:t>
      </w:r>
      <w:r w:rsidR="00C804B5">
        <w:t>,</w:t>
      </w:r>
      <w:r>
        <w:t xml:space="preserve"> the following criteria must be met:</w:t>
      </w:r>
    </w:p>
    <w:p w14:paraId="6611A7B2" w14:textId="01C39591" w:rsidR="005E0837" w:rsidRPr="00C804B5" w:rsidRDefault="005E0837" w:rsidP="00044B93">
      <w:pPr>
        <w:pStyle w:val="PolicyBullets"/>
        <w:jc w:val="both"/>
      </w:pPr>
      <w:r w:rsidRPr="00C804B5">
        <w:t xml:space="preserve">The candidate has covered the entire course and </w:t>
      </w:r>
      <w:proofErr w:type="gramStart"/>
      <w:r w:rsidRPr="00C804B5">
        <w:t>has been fully prepared</w:t>
      </w:r>
      <w:proofErr w:type="gramEnd"/>
      <w:r w:rsidRPr="00C804B5">
        <w:t xml:space="preserve"> for the relevant assessment. </w:t>
      </w:r>
    </w:p>
    <w:p w14:paraId="053D3F90" w14:textId="5AC98BD0" w:rsidR="005E0837" w:rsidRPr="00C804B5" w:rsidRDefault="005E0837" w:rsidP="00044B93">
      <w:pPr>
        <w:pStyle w:val="PolicyBullets"/>
        <w:jc w:val="both"/>
      </w:pPr>
      <w:r w:rsidRPr="00C804B5">
        <w:t xml:space="preserve">The candidate was unable to complete the relevant assessment during the certification series at the same time as their peers </w:t>
      </w:r>
      <w:r w:rsidR="00F52391">
        <w:t>for</w:t>
      </w:r>
      <w:r w:rsidRPr="00C804B5">
        <w:t xml:space="preserve"> acceptable reasons. </w:t>
      </w:r>
    </w:p>
    <w:p w14:paraId="724C6E2D" w14:textId="733D20F0" w:rsidR="0072711B" w:rsidRPr="00C804B5" w:rsidRDefault="005E0837" w:rsidP="00044B93">
      <w:pPr>
        <w:pStyle w:val="PolicyBullets"/>
        <w:jc w:val="both"/>
      </w:pPr>
      <w:r w:rsidRPr="00C804B5">
        <w:t>The school has taken</w:t>
      </w:r>
      <w:r w:rsidR="0072711B" w:rsidRPr="00C804B5">
        <w:t xml:space="preserve"> </w:t>
      </w:r>
      <w:r w:rsidRPr="00C804B5">
        <w:t xml:space="preserve">all reasonable steps to try to accommodate the candidate in completing the assessment, including the consideration of a short extension. </w:t>
      </w:r>
    </w:p>
    <w:p w14:paraId="2C44CC80" w14:textId="27C7AA9B" w:rsidR="005E0837" w:rsidRPr="00F603E8" w:rsidRDefault="005E0837" w:rsidP="00044B93">
      <w:pPr>
        <w:pStyle w:val="PolicyBullets"/>
        <w:jc w:val="both"/>
      </w:pPr>
      <w:r w:rsidRPr="00F603E8">
        <w:t xml:space="preserve">The school can clearly set out why the assessment </w:t>
      </w:r>
      <w:proofErr w:type="gramStart"/>
      <w:r w:rsidRPr="00F603E8">
        <w:t>could not be completed</w:t>
      </w:r>
      <w:proofErr w:type="gramEnd"/>
      <w:r w:rsidRPr="00F603E8">
        <w:t xml:space="preserve"> in the certification series by means of an agreed extension. </w:t>
      </w:r>
    </w:p>
    <w:p w14:paraId="31E8CEE1" w14:textId="5D4487AB" w:rsidR="005E0837" w:rsidRPr="00F603E8" w:rsidRDefault="005E0837" w:rsidP="00044B93">
      <w:pPr>
        <w:pStyle w:val="PolicyBullets"/>
        <w:jc w:val="both"/>
      </w:pPr>
      <w:r w:rsidRPr="00F603E8">
        <w:t xml:space="preserve">The candidate meets the published criteria for enhanced grading. </w:t>
      </w:r>
    </w:p>
    <w:p w14:paraId="2915A1A9" w14:textId="7DD654DD" w:rsidR="005E0837" w:rsidRPr="00F603E8" w:rsidRDefault="005E0837" w:rsidP="00044B93">
      <w:pPr>
        <w:pStyle w:val="PolicyBullets"/>
        <w:jc w:val="both"/>
      </w:pPr>
      <w:r w:rsidRPr="00F603E8">
        <w:t xml:space="preserve">The school supports the application for special consideration. </w:t>
      </w:r>
    </w:p>
    <w:p w14:paraId="2282A27D" w14:textId="626FFFAE" w:rsidR="005E0837" w:rsidRDefault="005E0837" w:rsidP="00044B93">
      <w:pPr>
        <w:pStyle w:val="Style2"/>
        <w:spacing w:before="120"/>
        <w:ind w:left="788" w:hanging="431"/>
        <w:jc w:val="both"/>
      </w:pPr>
      <w:r>
        <w:t>Awarding bodies will accept a reduced quantity of work</w:t>
      </w:r>
      <w:r w:rsidR="007A3891">
        <w:t>,</w:t>
      </w:r>
      <w:r>
        <w:t xml:space="preserve"> providing the following criteria is met:</w:t>
      </w:r>
    </w:p>
    <w:p w14:paraId="5DC29D0A" w14:textId="5612776E" w:rsidR="005E0837" w:rsidRPr="00F603E8" w:rsidRDefault="005E0837" w:rsidP="00044B93">
      <w:pPr>
        <w:pStyle w:val="PolicyBullets"/>
        <w:jc w:val="both"/>
      </w:pPr>
      <w:r w:rsidRPr="00F603E8">
        <w:t xml:space="preserve">The specification requires completion of more than one piece of work. </w:t>
      </w:r>
    </w:p>
    <w:p w14:paraId="05078229" w14:textId="63C4EC42" w:rsidR="005E0837" w:rsidRPr="00F603E8" w:rsidRDefault="005E0837" w:rsidP="00044B93">
      <w:pPr>
        <w:pStyle w:val="PolicyBullets"/>
        <w:jc w:val="both"/>
      </w:pPr>
      <w:r w:rsidRPr="00F603E8">
        <w:t xml:space="preserve">All pieces of work </w:t>
      </w:r>
      <w:proofErr w:type="gramStart"/>
      <w:r w:rsidRPr="00F603E8">
        <w:t>are assessed</w:t>
      </w:r>
      <w:proofErr w:type="gramEnd"/>
      <w:r w:rsidRPr="00F603E8">
        <w:t xml:space="preserve"> against the same criteria. </w:t>
      </w:r>
    </w:p>
    <w:p w14:paraId="677BE63E" w14:textId="1F3CC929" w:rsidR="005E0837" w:rsidRPr="00F603E8" w:rsidRDefault="005E0837" w:rsidP="00044B93">
      <w:pPr>
        <w:pStyle w:val="PolicyBullets"/>
        <w:jc w:val="both"/>
      </w:pPr>
      <w:r w:rsidRPr="00F603E8">
        <w:t xml:space="preserve">The candidate has completed at least one piece of work and each required assessment objective </w:t>
      </w:r>
      <w:proofErr w:type="gramStart"/>
      <w:r w:rsidRPr="00F603E8">
        <w:t>has been covered</w:t>
      </w:r>
      <w:proofErr w:type="gramEnd"/>
      <w:r w:rsidRPr="00F603E8">
        <w:t xml:space="preserve"> at least once. </w:t>
      </w:r>
    </w:p>
    <w:p w14:paraId="3CCCA592" w14:textId="7703D4E3" w:rsidR="00667ECF" w:rsidRPr="00044B93" w:rsidRDefault="00F3582A" w:rsidP="00044B93">
      <w:pPr>
        <w:pStyle w:val="Style2"/>
        <w:numPr>
          <w:ilvl w:val="0"/>
          <w:numId w:val="0"/>
        </w:numPr>
        <w:rPr>
          <w:b/>
        </w:rPr>
      </w:pPr>
      <w:bookmarkStart w:id="22" w:name="_Loss_of_work"/>
      <w:bookmarkEnd w:id="22"/>
      <w:r w:rsidRPr="00044B93">
        <w:rPr>
          <w:b/>
        </w:rPr>
        <w:t>Loss of work</w:t>
      </w:r>
    </w:p>
    <w:p w14:paraId="3045C351" w14:textId="77777777" w:rsidR="005E0837" w:rsidRPr="00667ECF" w:rsidRDefault="005E0837" w:rsidP="00044B93">
      <w:pPr>
        <w:pStyle w:val="Style2"/>
        <w:jc w:val="both"/>
      </w:pPr>
      <w:r>
        <w:t xml:space="preserve">If the candidate is responsible for the loss of their work through negligence, no special consideration </w:t>
      </w:r>
      <w:proofErr w:type="gramStart"/>
      <w:r>
        <w:t>will be given</w:t>
      </w:r>
      <w:proofErr w:type="gramEnd"/>
      <w:r>
        <w:t xml:space="preserve">. </w:t>
      </w:r>
    </w:p>
    <w:p w14:paraId="7F62BBAF" w14:textId="5C516129" w:rsidR="005E0837" w:rsidRDefault="005E0837" w:rsidP="00044B93">
      <w:pPr>
        <w:pStyle w:val="Style2"/>
        <w:jc w:val="both"/>
      </w:pPr>
      <w:r>
        <w:t xml:space="preserve">If the school is responsible for the loss of work through negligence, then the candidate will be eligible for special consideration, providing the school can verify that the work was completed or partially completed and had been monitored whilst it was in progress. </w:t>
      </w:r>
    </w:p>
    <w:p w14:paraId="390939DC" w14:textId="77777777" w:rsidR="000466C0" w:rsidRPr="00667ECF" w:rsidRDefault="000466C0" w:rsidP="000466C0">
      <w:pPr>
        <w:pStyle w:val="Style2"/>
        <w:numPr>
          <w:ilvl w:val="0"/>
          <w:numId w:val="0"/>
        </w:numPr>
        <w:ind w:left="792"/>
        <w:jc w:val="both"/>
      </w:pPr>
    </w:p>
    <w:p w14:paraId="6708C614" w14:textId="11F8B65F" w:rsidR="00F3582A" w:rsidRDefault="00F3582A" w:rsidP="007A3891">
      <w:pPr>
        <w:pStyle w:val="Heading10"/>
        <w:jc w:val="both"/>
        <w:rPr>
          <w:b/>
          <w:sz w:val="28"/>
        </w:rPr>
      </w:pPr>
      <w:bookmarkStart w:id="23" w:name="_Malpractice"/>
      <w:bookmarkEnd w:id="23"/>
      <w:r w:rsidRPr="00F3582A">
        <w:rPr>
          <w:b/>
          <w:sz w:val="28"/>
        </w:rPr>
        <w:t xml:space="preserve">Malpractice </w:t>
      </w:r>
    </w:p>
    <w:p w14:paraId="0D79164F" w14:textId="0DC7793F" w:rsidR="00667ECF" w:rsidRDefault="00112B8E" w:rsidP="007A3891">
      <w:pPr>
        <w:pStyle w:val="Style2"/>
        <w:jc w:val="both"/>
      </w:pPr>
      <w:r w:rsidRPr="000466C0">
        <w:t>Teachers</w:t>
      </w:r>
      <w:r>
        <w:t xml:space="preserve"> will familiarise themselves with the JCQ document ‘</w:t>
      </w:r>
      <w:hyperlink r:id="rId10" w:history="1">
        <w:r w:rsidRPr="00112B8E">
          <w:rPr>
            <w:rStyle w:val="Hyperlink"/>
          </w:rPr>
          <w:t xml:space="preserve">Notice to Centres </w:t>
        </w:r>
        <w:proofErr w:type="gramStart"/>
        <w:r w:rsidRPr="00112B8E">
          <w:rPr>
            <w:rStyle w:val="Hyperlink"/>
          </w:rPr>
          <w:t xml:space="preserve">–  </w:t>
        </w:r>
        <w:r w:rsidR="00636111">
          <w:rPr>
            <w:rStyle w:val="Hyperlink"/>
          </w:rPr>
          <w:t>S</w:t>
        </w:r>
        <w:r w:rsidRPr="00112B8E">
          <w:rPr>
            <w:rStyle w:val="Hyperlink"/>
          </w:rPr>
          <w:t>haring</w:t>
        </w:r>
        <w:proofErr w:type="gramEnd"/>
        <w:r w:rsidR="00636111">
          <w:rPr>
            <w:rStyle w:val="Hyperlink"/>
          </w:rPr>
          <w:t xml:space="preserve"> NEA</w:t>
        </w:r>
        <w:r w:rsidRPr="00112B8E">
          <w:rPr>
            <w:rStyle w:val="Hyperlink"/>
          </w:rPr>
          <w:t xml:space="preserve"> material and candidates’ work</w:t>
        </w:r>
      </w:hyperlink>
      <w:r>
        <w:t>.’</w:t>
      </w:r>
    </w:p>
    <w:p w14:paraId="7C2C3CB5" w14:textId="1043A314" w:rsidR="00112B8E" w:rsidRDefault="00112B8E" w:rsidP="00044B93">
      <w:pPr>
        <w:pStyle w:val="PolicyBullets"/>
        <w:jc w:val="both"/>
      </w:pPr>
      <w:r>
        <w:t xml:space="preserve">Candidates </w:t>
      </w:r>
      <w:r w:rsidR="00636111">
        <w:t xml:space="preserve">must </w:t>
      </w:r>
      <w:r>
        <w:t>not:</w:t>
      </w:r>
    </w:p>
    <w:p w14:paraId="5C5EDF27" w14:textId="0A4F8E0E" w:rsidR="00112B8E" w:rsidRDefault="00112B8E" w:rsidP="001C59CD">
      <w:pPr>
        <w:pStyle w:val="PolicyBullets"/>
        <w:numPr>
          <w:ilvl w:val="1"/>
          <w:numId w:val="6"/>
        </w:numPr>
        <w:jc w:val="both"/>
      </w:pPr>
      <w:r>
        <w:t xml:space="preserve">Submit work which is not their own. </w:t>
      </w:r>
    </w:p>
    <w:p w14:paraId="29096975" w14:textId="20ECBAD0" w:rsidR="00112B8E" w:rsidRDefault="00112B8E" w:rsidP="001C59CD">
      <w:pPr>
        <w:pStyle w:val="PolicyBullets"/>
        <w:numPr>
          <w:ilvl w:val="1"/>
          <w:numId w:val="6"/>
        </w:numPr>
        <w:jc w:val="both"/>
      </w:pPr>
      <w:r>
        <w:t xml:space="preserve">Make their work available to other candidates through any medium. </w:t>
      </w:r>
    </w:p>
    <w:p w14:paraId="34C79155" w14:textId="013E7B43" w:rsidR="00112B8E" w:rsidRDefault="00112B8E" w:rsidP="001C59CD">
      <w:pPr>
        <w:pStyle w:val="PolicyBullets"/>
        <w:numPr>
          <w:ilvl w:val="1"/>
          <w:numId w:val="6"/>
        </w:numPr>
        <w:jc w:val="both"/>
      </w:pPr>
      <w:r>
        <w:t xml:space="preserve">Allow other candidates to have access to their </w:t>
      </w:r>
      <w:r w:rsidR="007A3891">
        <w:t xml:space="preserve">own </w:t>
      </w:r>
      <w:r>
        <w:t xml:space="preserve">independently sourced material. </w:t>
      </w:r>
    </w:p>
    <w:p w14:paraId="233F9007" w14:textId="13DE3A53" w:rsidR="00112B8E" w:rsidRDefault="00112B8E" w:rsidP="001C59CD">
      <w:pPr>
        <w:pStyle w:val="PolicyBullets"/>
        <w:numPr>
          <w:ilvl w:val="1"/>
          <w:numId w:val="6"/>
        </w:numPr>
        <w:jc w:val="both"/>
      </w:pPr>
      <w:r>
        <w:t xml:space="preserve">Assist other candidates in producing work. </w:t>
      </w:r>
    </w:p>
    <w:p w14:paraId="4F704D74" w14:textId="6AAE9F67" w:rsidR="00112B8E" w:rsidRDefault="00112B8E" w:rsidP="001C59CD">
      <w:pPr>
        <w:pStyle w:val="PolicyBullets"/>
        <w:numPr>
          <w:ilvl w:val="1"/>
          <w:numId w:val="6"/>
        </w:numPr>
        <w:jc w:val="both"/>
      </w:pPr>
      <w:r>
        <w:t xml:space="preserve">Use books, the internet or other sources without attribution and acknowledgement. </w:t>
      </w:r>
    </w:p>
    <w:p w14:paraId="48261FBD" w14:textId="2D1201A9" w:rsidR="00112B8E" w:rsidRDefault="00112B8E" w:rsidP="001C59CD">
      <w:pPr>
        <w:pStyle w:val="PolicyBullets"/>
        <w:numPr>
          <w:ilvl w:val="1"/>
          <w:numId w:val="6"/>
        </w:numPr>
        <w:jc w:val="both"/>
      </w:pPr>
      <w:r>
        <w:t xml:space="preserve">Submit work that has been word-processed by a third party without acknowledgement. </w:t>
      </w:r>
    </w:p>
    <w:p w14:paraId="2CB6173C" w14:textId="5C633E21" w:rsidR="00112B8E" w:rsidRDefault="00112B8E" w:rsidP="001C59CD">
      <w:pPr>
        <w:pStyle w:val="PolicyBullets"/>
        <w:numPr>
          <w:ilvl w:val="1"/>
          <w:numId w:val="6"/>
        </w:numPr>
        <w:jc w:val="both"/>
      </w:pPr>
      <w:r>
        <w:t xml:space="preserve">Include inappropriate, offensive or obscene material. </w:t>
      </w:r>
    </w:p>
    <w:p w14:paraId="66535858" w14:textId="390E4D8A" w:rsidR="00112B8E" w:rsidRPr="00881B51" w:rsidRDefault="00112B8E" w:rsidP="00044B93">
      <w:pPr>
        <w:pStyle w:val="Style2"/>
        <w:spacing w:before="120"/>
        <w:ind w:left="788" w:hanging="431"/>
        <w:jc w:val="both"/>
      </w:pPr>
      <w:r w:rsidRPr="00881B51">
        <w:t xml:space="preserve">Candidates will not publish their work on social media. </w:t>
      </w:r>
    </w:p>
    <w:p w14:paraId="74C186AA" w14:textId="56B0B2A1" w:rsidR="00B55008" w:rsidRDefault="00B55008" w:rsidP="00044B93">
      <w:pPr>
        <w:pStyle w:val="Style2"/>
        <w:jc w:val="both"/>
      </w:pPr>
      <w:r>
        <w:t>If a candidate malpractice is discovered after a candidate has signed the authentication statement, the awarding body will either:</w:t>
      </w:r>
    </w:p>
    <w:p w14:paraId="53C1A1B4" w14:textId="338A7B60" w:rsidR="00B55008" w:rsidRPr="00F603E8" w:rsidRDefault="00B55008" w:rsidP="00044B93">
      <w:pPr>
        <w:pStyle w:val="PolicyBullets"/>
        <w:jc w:val="both"/>
      </w:pPr>
      <w:r w:rsidRPr="00F603E8">
        <w:t xml:space="preserve">Award the work a mark of zero. </w:t>
      </w:r>
    </w:p>
    <w:p w14:paraId="62ABD84E" w14:textId="2BBCE0CA" w:rsidR="00B55008" w:rsidRPr="00F603E8" w:rsidRDefault="00B55008" w:rsidP="00044B93">
      <w:pPr>
        <w:pStyle w:val="PolicyBullets"/>
        <w:jc w:val="both"/>
      </w:pPr>
      <w:r w:rsidRPr="00F603E8">
        <w:t xml:space="preserve">Disqualify the candidate from that component of the examination series. </w:t>
      </w:r>
    </w:p>
    <w:p w14:paraId="08086467" w14:textId="0B9A418A" w:rsidR="00B55008" w:rsidRPr="00F603E8" w:rsidRDefault="00B55008" w:rsidP="00044B93">
      <w:pPr>
        <w:pStyle w:val="PolicyBullets"/>
        <w:jc w:val="both"/>
      </w:pPr>
      <w:r w:rsidRPr="00F603E8">
        <w:t xml:space="preserve">Disqualify the candidate from the entire subject for that examination series. </w:t>
      </w:r>
    </w:p>
    <w:p w14:paraId="37D10C52" w14:textId="2244EAE7" w:rsidR="00B55008" w:rsidRPr="00F603E8" w:rsidRDefault="00B55008" w:rsidP="00044B93">
      <w:pPr>
        <w:pStyle w:val="PolicyBullets"/>
        <w:jc w:val="both"/>
      </w:pPr>
      <w:r w:rsidRPr="00F603E8">
        <w:t xml:space="preserve">Disqualify and ban the candidate from re-entering for a </w:t>
      </w:r>
      <w:proofErr w:type="gramStart"/>
      <w:r w:rsidRPr="00F603E8">
        <w:t>period of time</w:t>
      </w:r>
      <w:proofErr w:type="gramEnd"/>
      <w:r w:rsidRPr="00F603E8">
        <w:t xml:space="preserve">. </w:t>
      </w:r>
    </w:p>
    <w:p w14:paraId="11A524CF" w14:textId="3234C9C1" w:rsidR="00112B8E" w:rsidRPr="00112B8E" w:rsidRDefault="00112B8E" w:rsidP="00044B93">
      <w:pPr>
        <w:pStyle w:val="Style2"/>
        <w:spacing w:before="120"/>
        <w:ind w:left="788" w:hanging="431"/>
        <w:jc w:val="both"/>
        <w:rPr>
          <w:b/>
          <w:color w:val="FFC000"/>
          <w:u w:val="single"/>
        </w:rPr>
      </w:pPr>
      <w:proofErr w:type="spellStart"/>
      <w:r w:rsidRPr="000466C0">
        <w:rPr>
          <w:rFonts w:cstheme="minorBidi"/>
        </w:rPr>
        <w:t>Headteachers</w:t>
      </w:r>
      <w:proofErr w:type="spellEnd"/>
      <w:r w:rsidRPr="000466C0">
        <w:rPr>
          <w:rFonts w:cstheme="minorBidi"/>
        </w:rPr>
        <w:t xml:space="preserve"> will ensure that those members of </w:t>
      </w:r>
      <w:r w:rsidR="00C804B5" w:rsidRPr="000466C0">
        <w:rPr>
          <w:rFonts w:cstheme="minorBidi"/>
        </w:rPr>
        <w:t>staff</w:t>
      </w:r>
      <w:r w:rsidRPr="000466C0">
        <w:rPr>
          <w:rFonts w:cstheme="minorBidi"/>
        </w:rPr>
        <w:t xml:space="preserve"> involved in the direct supervision of</w:t>
      </w:r>
      <w:r>
        <w:t xml:space="preserve"> candidates producing non-examination assessment material are aware of the potential risk of malpractice. </w:t>
      </w:r>
    </w:p>
    <w:p w14:paraId="51A5DBEB" w14:textId="77847221" w:rsidR="00112B8E" w:rsidRPr="000466C0" w:rsidRDefault="00112B8E" w:rsidP="00044B93">
      <w:pPr>
        <w:pStyle w:val="Style2"/>
        <w:jc w:val="both"/>
        <w:rPr>
          <w:rFonts w:cstheme="minorBidi"/>
        </w:rPr>
      </w:pPr>
      <w:r w:rsidRPr="000466C0">
        <w:rPr>
          <w:rFonts w:cstheme="minorBidi"/>
        </w:rPr>
        <w:t xml:space="preserve">Teaching </w:t>
      </w:r>
      <w:r w:rsidR="00C804B5" w:rsidRPr="000466C0">
        <w:rPr>
          <w:rFonts w:cstheme="minorBidi"/>
        </w:rPr>
        <w:t>staff</w:t>
      </w:r>
      <w:r w:rsidRPr="000466C0">
        <w:rPr>
          <w:rFonts w:cstheme="minorBidi"/>
        </w:rPr>
        <w:t xml:space="preserve"> will be aware that failure to report malpractice constitutes malpractice itself. </w:t>
      </w:r>
    </w:p>
    <w:p w14:paraId="5976CFF5" w14:textId="5810FFCA" w:rsidR="00112B8E" w:rsidRPr="000466C0" w:rsidRDefault="00112B8E" w:rsidP="00044B93">
      <w:pPr>
        <w:pStyle w:val="Style2"/>
        <w:jc w:val="both"/>
        <w:rPr>
          <w:rFonts w:cstheme="minorBidi"/>
        </w:rPr>
      </w:pPr>
      <w:r w:rsidRPr="000466C0">
        <w:rPr>
          <w:rFonts w:cstheme="minorBidi"/>
        </w:rPr>
        <w:t xml:space="preserve">Teachers will: </w:t>
      </w:r>
    </w:p>
    <w:p w14:paraId="1F31D8A1" w14:textId="47DC66D5" w:rsidR="00112B8E" w:rsidRPr="00F603E8" w:rsidRDefault="00112B8E" w:rsidP="00044B93">
      <w:pPr>
        <w:pStyle w:val="PolicyBullets"/>
        <w:jc w:val="both"/>
      </w:pPr>
      <w:r w:rsidRPr="00F603E8">
        <w:t xml:space="preserve">Be vigilant. </w:t>
      </w:r>
    </w:p>
    <w:p w14:paraId="6D61E14D" w14:textId="62D93FA6" w:rsidR="00112B8E" w:rsidRPr="00F603E8" w:rsidRDefault="00112B8E" w:rsidP="00044B93">
      <w:pPr>
        <w:pStyle w:val="PolicyBullets"/>
        <w:jc w:val="both"/>
      </w:pPr>
      <w:r w:rsidRPr="00F603E8">
        <w:t xml:space="preserve">Escalate and report any alleged, suspected or actual incidents of malpractice. </w:t>
      </w:r>
    </w:p>
    <w:p w14:paraId="436BA4F0" w14:textId="55AB788B" w:rsidR="00112B8E" w:rsidRDefault="00B55008" w:rsidP="00044B93">
      <w:pPr>
        <w:pStyle w:val="Style2"/>
        <w:spacing w:before="120"/>
        <w:ind w:left="788" w:hanging="431"/>
        <w:jc w:val="both"/>
      </w:pPr>
      <w:r w:rsidRPr="000466C0">
        <w:rPr>
          <w:rFonts w:cstheme="minorBidi"/>
        </w:rPr>
        <w:t xml:space="preserve">If teachers suspect malpractice, </w:t>
      </w:r>
      <w:r w:rsidR="00636111" w:rsidRPr="000466C0">
        <w:rPr>
          <w:rFonts w:cstheme="minorBidi"/>
        </w:rPr>
        <w:t>the</w:t>
      </w:r>
      <w:r w:rsidR="0086110C" w:rsidRPr="000466C0">
        <w:rPr>
          <w:rFonts w:cstheme="minorBidi"/>
        </w:rPr>
        <w:t xml:space="preserve"> </w:t>
      </w:r>
      <w:r w:rsidRPr="000466C0">
        <w:rPr>
          <w:rFonts w:cstheme="minorBidi"/>
        </w:rPr>
        <w:t>disciplinary procedure</w:t>
      </w:r>
      <w:r w:rsidR="00636111" w:rsidRPr="000466C0">
        <w:rPr>
          <w:rFonts w:cstheme="minorBidi"/>
        </w:rPr>
        <w:t xml:space="preserve">s outlined in the school’s </w:t>
      </w:r>
      <w:r w:rsidR="00350F77" w:rsidRPr="000466C0">
        <w:rPr>
          <w:rFonts w:cstheme="minorBidi"/>
        </w:rPr>
        <w:t>Behavioural Policy</w:t>
      </w:r>
      <w:r>
        <w:t xml:space="preserve"> </w:t>
      </w:r>
      <w:proofErr w:type="gramStart"/>
      <w:r>
        <w:t>will be followed</w:t>
      </w:r>
      <w:proofErr w:type="gramEnd"/>
      <w:r>
        <w:t xml:space="preserve"> and the relevant awarding body will be contacted. </w:t>
      </w:r>
    </w:p>
    <w:p w14:paraId="2E3C59E5" w14:textId="77777777" w:rsidR="000466C0" w:rsidRDefault="000466C0" w:rsidP="000466C0">
      <w:pPr>
        <w:pStyle w:val="Style2"/>
        <w:numPr>
          <w:ilvl w:val="0"/>
          <w:numId w:val="0"/>
        </w:numPr>
        <w:spacing w:before="120"/>
        <w:ind w:left="788"/>
        <w:jc w:val="both"/>
      </w:pPr>
    </w:p>
    <w:p w14:paraId="15246D6C" w14:textId="79598639" w:rsidR="00F3582A" w:rsidRDefault="00F3582A">
      <w:pPr>
        <w:pStyle w:val="Heading10"/>
        <w:jc w:val="both"/>
        <w:rPr>
          <w:b/>
          <w:sz w:val="28"/>
        </w:rPr>
      </w:pPr>
      <w:bookmarkStart w:id="24" w:name="_[Consortium_arrangement]"/>
      <w:bookmarkStart w:id="25" w:name="_Quality_assurance"/>
      <w:bookmarkEnd w:id="24"/>
      <w:bookmarkEnd w:id="25"/>
      <w:r w:rsidRPr="00F3582A">
        <w:rPr>
          <w:b/>
          <w:sz w:val="28"/>
        </w:rPr>
        <w:t xml:space="preserve">Quality assurance </w:t>
      </w:r>
    </w:p>
    <w:p w14:paraId="7A7F3B61" w14:textId="407130B1" w:rsidR="00667ECF" w:rsidRPr="000466C0" w:rsidRDefault="00881DB6">
      <w:pPr>
        <w:pStyle w:val="Style2"/>
        <w:jc w:val="both"/>
      </w:pPr>
      <w:r w:rsidRPr="000466C0">
        <w:t>Tor School</w:t>
      </w:r>
      <w:r w:rsidR="00B55008" w:rsidRPr="000466C0">
        <w:t xml:space="preserve"> </w:t>
      </w:r>
      <w:r w:rsidR="00B55008">
        <w:t xml:space="preserve">is committed to quality assurance and believes it in an integral part of the school’s processes. </w:t>
      </w:r>
    </w:p>
    <w:p w14:paraId="52BCA102" w14:textId="498B9B40" w:rsidR="006E25B3" w:rsidRPr="006E25B3" w:rsidRDefault="006E25B3" w:rsidP="00044B93">
      <w:pPr>
        <w:pStyle w:val="Style2"/>
        <w:jc w:val="both"/>
      </w:pPr>
      <w:r w:rsidRPr="006E25B3">
        <w:t xml:space="preserve">At </w:t>
      </w:r>
      <w:r w:rsidR="00881DB6" w:rsidRPr="000466C0">
        <w:t>Tor School</w:t>
      </w:r>
      <w:r w:rsidRPr="006E25B3">
        <w:t xml:space="preserve">, an internal verification process is in place to ensure that consistent testing and assessment standards </w:t>
      </w:r>
      <w:proofErr w:type="gramStart"/>
      <w:r w:rsidRPr="006E25B3">
        <w:t>are maintained</w:t>
      </w:r>
      <w:proofErr w:type="gramEnd"/>
      <w:r w:rsidRPr="006E25B3">
        <w:t xml:space="preserve">. </w:t>
      </w:r>
    </w:p>
    <w:p w14:paraId="1ADC4CC5" w14:textId="77777777" w:rsidR="006E25B3" w:rsidRPr="006E25B3" w:rsidRDefault="006E25B3" w:rsidP="007A3891">
      <w:pPr>
        <w:pStyle w:val="Style2"/>
        <w:jc w:val="both"/>
      </w:pPr>
      <w:r w:rsidRPr="006E25B3">
        <w:t>Several methods of internal verification are carried out on an on-going basis, including the following:</w:t>
      </w:r>
    </w:p>
    <w:p w14:paraId="1079DF89" w14:textId="77777777" w:rsidR="006E25B3" w:rsidRPr="006E25B3" w:rsidRDefault="006E25B3" w:rsidP="00044B93">
      <w:pPr>
        <w:pStyle w:val="PolicyBullets"/>
        <w:jc w:val="both"/>
      </w:pPr>
      <w:r w:rsidRPr="006E25B3">
        <w:t>Cross-marking</w:t>
      </w:r>
    </w:p>
    <w:p w14:paraId="2E814690" w14:textId="77777777" w:rsidR="006E25B3" w:rsidRPr="006E25B3" w:rsidRDefault="006E25B3" w:rsidP="00044B93">
      <w:pPr>
        <w:pStyle w:val="PolicyBullets"/>
        <w:jc w:val="both"/>
      </w:pPr>
      <w:r w:rsidRPr="006E25B3">
        <w:t>Peer reviewing and appraisals</w:t>
      </w:r>
    </w:p>
    <w:p w14:paraId="307CDA34" w14:textId="77777777" w:rsidR="006E25B3" w:rsidRPr="006E25B3" w:rsidRDefault="006E25B3" w:rsidP="00044B93">
      <w:pPr>
        <w:pStyle w:val="PolicyBullets"/>
        <w:jc w:val="both"/>
      </w:pPr>
      <w:r w:rsidRPr="006E25B3">
        <w:t>Working observations</w:t>
      </w:r>
    </w:p>
    <w:p w14:paraId="40CBD934" w14:textId="77777777" w:rsidR="006E25B3" w:rsidRPr="006E25B3" w:rsidRDefault="006E25B3" w:rsidP="00044B93">
      <w:pPr>
        <w:pStyle w:val="PolicyBullets"/>
        <w:jc w:val="both"/>
      </w:pPr>
      <w:r w:rsidRPr="006E25B3">
        <w:t>Moderation</w:t>
      </w:r>
    </w:p>
    <w:p w14:paraId="67587156" w14:textId="77777777" w:rsidR="006E25B3" w:rsidRPr="006E25B3" w:rsidRDefault="006E25B3" w:rsidP="00044B93">
      <w:pPr>
        <w:pStyle w:val="PolicyBullets"/>
        <w:spacing w:after="120"/>
        <w:contextualSpacing w:val="0"/>
        <w:jc w:val="both"/>
      </w:pPr>
      <w:r w:rsidRPr="006E25B3">
        <w:t>Standardisation</w:t>
      </w:r>
    </w:p>
    <w:p w14:paraId="4F066F27" w14:textId="77777777" w:rsidR="006E25B3" w:rsidRPr="006E25B3" w:rsidRDefault="006E25B3" w:rsidP="00044B93">
      <w:pPr>
        <w:pStyle w:val="Style2"/>
        <w:jc w:val="both"/>
      </w:pPr>
      <w:r w:rsidRPr="006E25B3">
        <w:t xml:space="preserve">All cases of borderline achievement </w:t>
      </w:r>
      <w:proofErr w:type="gramStart"/>
      <w:r w:rsidRPr="006E25B3">
        <w:t>are internally verified</w:t>
      </w:r>
      <w:proofErr w:type="gramEnd"/>
      <w:r w:rsidRPr="006E25B3">
        <w:t xml:space="preserve">. All internal verification </w:t>
      </w:r>
      <w:proofErr w:type="gramStart"/>
      <w:r w:rsidRPr="006E25B3">
        <w:t>is recorded</w:t>
      </w:r>
      <w:proofErr w:type="gramEnd"/>
      <w:r w:rsidRPr="006E25B3">
        <w:t xml:space="preserve"> on pupils’ work and on central recording systems.</w:t>
      </w:r>
    </w:p>
    <w:p w14:paraId="15E3868F" w14:textId="22632CC7" w:rsidR="006E25B3" w:rsidRPr="006E25B3" w:rsidRDefault="006E25B3" w:rsidP="007A3891">
      <w:pPr>
        <w:pStyle w:val="Style2"/>
        <w:jc w:val="both"/>
      </w:pPr>
      <w:r w:rsidRPr="006E25B3">
        <w:t xml:space="preserve">All necessary </w:t>
      </w:r>
      <w:r w:rsidR="00C804B5">
        <w:t>teaching staff</w:t>
      </w:r>
      <w:r w:rsidRPr="006E25B3">
        <w:t xml:space="preserve"> members attend relevant training and courses, keeping up-to-date with various methods of assessment and marking. </w:t>
      </w:r>
    </w:p>
    <w:p w14:paraId="54ADCE60" w14:textId="404B083D" w:rsidR="006E25B3" w:rsidRPr="006E25B3" w:rsidRDefault="006E25B3" w:rsidP="00044B93">
      <w:pPr>
        <w:pStyle w:val="Style2"/>
        <w:jc w:val="both"/>
      </w:pPr>
      <w:r w:rsidRPr="006E25B3">
        <w:t>Where a new marker is assessing, all work is double</w:t>
      </w:r>
      <w:r w:rsidR="00E60CCA">
        <w:t>-</w:t>
      </w:r>
      <w:r w:rsidRPr="006E25B3">
        <w:t xml:space="preserve">marked until the </w:t>
      </w:r>
      <w:proofErr w:type="spellStart"/>
      <w:r w:rsidRPr="000466C0">
        <w:t>headteacher</w:t>
      </w:r>
      <w:proofErr w:type="spellEnd"/>
      <w:r w:rsidRPr="006E25B3">
        <w:t xml:space="preserve"> is satisfied with the standard. </w:t>
      </w:r>
    </w:p>
    <w:p w14:paraId="282F4F1B" w14:textId="0FCDF6FC" w:rsidR="006E25B3" w:rsidRPr="006E25B3" w:rsidRDefault="006E25B3" w:rsidP="007A3891">
      <w:pPr>
        <w:pStyle w:val="Style2"/>
        <w:jc w:val="both"/>
      </w:pPr>
      <w:r w:rsidRPr="006E25B3">
        <w:t xml:space="preserve">Information from the awarding body </w:t>
      </w:r>
      <w:proofErr w:type="gramStart"/>
      <w:r w:rsidRPr="006E25B3">
        <w:t>is circulated</w:t>
      </w:r>
      <w:proofErr w:type="gramEnd"/>
      <w:r w:rsidRPr="006E25B3">
        <w:t xml:space="preserve"> to all members of </w:t>
      </w:r>
      <w:r w:rsidR="00C804B5">
        <w:t>staff</w:t>
      </w:r>
      <w:r w:rsidRPr="006E25B3">
        <w:t xml:space="preserve"> involved in the assessing of pupils’ work.  </w:t>
      </w:r>
    </w:p>
    <w:p w14:paraId="050946A2" w14:textId="37F68D39" w:rsidR="00667ECF" w:rsidRDefault="00881DB6" w:rsidP="00044B93">
      <w:pPr>
        <w:pStyle w:val="Style2"/>
        <w:spacing w:after="120"/>
        <w:ind w:left="788" w:hanging="431"/>
        <w:jc w:val="both"/>
      </w:pPr>
      <w:r w:rsidRPr="000466C0">
        <w:t>Tor School</w:t>
      </w:r>
      <w:r w:rsidR="006E25B3" w:rsidRPr="000466C0">
        <w:t xml:space="preserve">’s Equal Opportunities Policy </w:t>
      </w:r>
      <w:r w:rsidR="006E25B3" w:rsidRPr="006E25B3">
        <w:t>is followed at all times and regularly monitored.</w:t>
      </w:r>
    </w:p>
    <w:p w14:paraId="08949D06" w14:textId="77777777" w:rsidR="001C59CD" w:rsidRPr="00667ECF" w:rsidRDefault="001C59CD" w:rsidP="001C59CD">
      <w:pPr>
        <w:pStyle w:val="Style2"/>
        <w:numPr>
          <w:ilvl w:val="0"/>
          <w:numId w:val="0"/>
        </w:numPr>
        <w:spacing w:after="120"/>
        <w:ind w:left="788"/>
        <w:jc w:val="both"/>
      </w:pPr>
      <w:bookmarkStart w:id="26" w:name="_GoBack"/>
      <w:bookmarkEnd w:id="26"/>
    </w:p>
    <w:p w14:paraId="537AB260" w14:textId="79A4018D" w:rsidR="00F3582A" w:rsidRDefault="00F3582A" w:rsidP="007A3891">
      <w:pPr>
        <w:pStyle w:val="Heading10"/>
        <w:spacing w:after="120"/>
        <w:ind w:left="357" w:hanging="357"/>
        <w:contextualSpacing w:val="0"/>
        <w:jc w:val="both"/>
        <w:rPr>
          <w:b/>
          <w:sz w:val="28"/>
        </w:rPr>
      </w:pPr>
      <w:bookmarkStart w:id="27" w:name="_Monitor_and_review"/>
      <w:bookmarkEnd w:id="27"/>
      <w:r w:rsidRPr="00F3582A">
        <w:rPr>
          <w:b/>
          <w:sz w:val="28"/>
        </w:rPr>
        <w:t>Monitor</w:t>
      </w:r>
      <w:r w:rsidR="00F66852">
        <w:rPr>
          <w:b/>
          <w:sz w:val="28"/>
        </w:rPr>
        <w:t>ing</w:t>
      </w:r>
      <w:r w:rsidRPr="00F3582A">
        <w:rPr>
          <w:b/>
          <w:sz w:val="28"/>
        </w:rPr>
        <w:t xml:space="preserve"> and review</w:t>
      </w:r>
    </w:p>
    <w:p w14:paraId="1BBACD6C" w14:textId="77777777" w:rsidR="00B55008" w:rsidRDefault="00B55008" w:rsidP="007A3891">
      <w:pPr>
        <w:pStyle w:val="Style2"/>
        <w:jc w:val="both"/>
      </w:pPr>
      <w:proofErr w:type="gramStart"/>
      <w:r>
        <w:t xml:space="preserve">This policy will be reviewed every year by the </w:t>
      </w:r>
      <w:proofErr w:type="spellStart"/>
      <w:r w:rsidRPr="000466C0">
        <w:t>headteacher</w:t>
      </w:r>
      <w:proofErr w:type="spellEnd"/>
      <w:r w:rsidRPr="000466C0">
        <w:t xml:space="preserve"> </w:t>
      </w:r>
      <w:r>
        <w:t xml:space="preserve">and </w:t>
      </w:r>
      <w:r w:rsidRPr="000466C0">
        <w:t>examinations officer</w:t>
      </w:r>
      <w:proofErr w:type="gramEnd"/>
      <w:r>
        <w:t xml:space="preserve">. </w:t>
      </w:r>
    </w:p>
    <w:p w14:paraId="68677243" w14:textId="7048132D" w:rsidR="00B55008" w:rsidRDefault="00B55008" w:rsidP="00044B93">
      <w:pPr>
        <w:pStyle w:val="Style2"/>
        <w:jc w:val="both"/>
      </w:pPr>
      <w:r>
        <w:t xml:space="preserve">Throughout the year, this policy </w:t>
      </w:r>
      <w:proofErr w:type="gramStart"/>
      <w:r>
        <w:t>will be monitored</w:t>
      </w:r>
      <w:proofErr w:type="gramEnd"/>
      <w:r>
        <w:t xml:space="preserve">, with any information gathered through the implementation of the policy being used to further develop and progress the Non-Examination Assessment Policy. </w:t>
      </w:r>
    </w:p>
    <w:p w14:paraId="7AF9376D" w14:textId="77777777" w:rsidR="00667ECF" w:rsidRPr="00667ECF" w:rsidRDefault="00667ECF" w:rsidP="007A3891">
      <w:pPr>
        <w:pStyle w:val="PolicyBullets"/>
        <w:numPr>
          <w:ilvl w:val="0"/>
          <w:numId w:val="0"/>
        </w:numPr>
        <w:jc w:val="both"/>
      </w:pPr>
    </w:p>
    <w:p w14:paraId="50668752" w14:textId="7D88C09E" w:rsidR="00C96500" w:rsidRPr="009D5A9F" w:rsidRDefault="00C96500" w:rsidP="00044B93">
      <w:pPr>
        <w:jc w:val="both"/>
        <w:rPr>
          <w:rFonts w:ascii="Arial" w:hAnsi="Arial" w:cs="Arial"/>
          <w:b/>
          <w:sz w:val="28"/>
        </w:rPr>
      </w:pPr>
      <w:bookmarkStart w:id="28" w:name="_Appendix_1_–_1"/>
      <w:bookmarkEnd w:id="28"/>
    </w:p>
    <w:sectPr w:rsidR="00C96500" w:rsidRPr="009D5A9F" w:rsidSect="00226E4A">
      <w:headerReference w:type="default" r:id="rId11"/>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84E78" w14:textId="77777777" w:rsidR="00095F9F" w:rsidRDefault="00095F9F" w:rsidP="00AD4155">
      <w:pPr>
        <w:spacing w:after="0" w:line="240" w:lineRule="auto"/>
      </w:pPr>
      <w:r>
        <w:separator/>
      </w:r>
    </w:p>
  </w:endnote>
  <w:endnote w:type="continuationSeparator" w:id="0">
    <w:p w14:paraId="7F87FA38" w14:textId="77777777" w:rsidR="00095F9F" w:rsidRDefault="00095F9F"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C54A9" w14:textId="77777777" w:rsidR="00095F9F" w:rsidRDefault="00095F9F" w:rsidP="00AD4155">
      <w:pPr>
        <w:spacing w:after="0" w:line="240" w:lineRule="auto"/>
      </w:pPr>
      <w:r>
        <w:separator/>
      </w:r>
    </w:p>
  </w:footnote>
  <w:footnote w:type="continuationSeparator" w:id="0">
    <w:p w14:paraId="23ECDD31" w14:textId="77777777" w:rsidR="00095F9F" w:rsidRDefault="00095F9F"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0D982" w14:textId="6E953454" w:rsidR="00095F9F" w:rsidRPr="00827A27" w:rsidRDefault="00095F9F"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7AD6E8F"/>
    <w:multiLevelType w:val="hybridMultilevel"/>
    <w:tmpl w:val="6782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42716"/>
    <w:multiLevelType w:val="hybridMultilevel"/>
    <w:tmpl w:val="7994BAE8"/>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3" w15:restartNumberingAfterBreak="0">
    <w:nsid w:val="438C22A1"/>
    <w:multiLevelType w:val="multilevel"/>
    <w:tmpl w:val="61FA2E4A"/>
    <w:numStyleLink w:val="Style1"/>
  </w:abstractNum>
  <w:abstractNum w:abstractNumId="4"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57A63EB"/>
    <w:multiLevelType w:val="hybridMultilevel"/>
    <w:tmpl w:val="C5E21F7E"/>
    <w:lvl w:ilvl="0" w:tplc="91D4FE2E">
      <w:start w:val="1"/>
      <w:numFmt w:val="bullet"/>
      <w:pStyle w:val="PolicyBullets"/>
      <w:lvlText w:val=""/>
      <w:lvlJc w:val="left"/>
      <w:pPr>
        <w:ind w:left="1925" w:hanging="360"/>
      </w:pPr>
      <w:rPr>
        <w:rFonts w:ascii="Symbol" w:hAnsi="Symbol" w:hint="default"/>
        <w:color w:val="auto"/>
      </w:rPr>
    </w:lvl>
    <w:lvl w:ilvl="1" w:tplc="5C70C2B4">
      <w:start w:val="3"/>
      <w:numFmt w:val="bullet"/>
      <w:lvlText w:val="̶"/>
      <w:lvlJc w:val="left"/>
      <w:pPr>
        <w:ind w:left="2645" w:hanging="360"/>
      </w:pPr>
      <w:rPr>
        <w:rFonts w:ascii="Arial" w:eastAsia="Times New Roman" w:hAnsi="Arial" w:hint="default"/>
      </w:rPr>
    </w:lvl>
    <w:lvl w:ilvl="2" w:tplc="08090005">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6" w15:restartNumberingAfterBreak="0">
    <w:nsid w:val="6A686244"/>
    <w:multiLevelType w:val="hybridMultilevel"/>
    <w:tmpl w:val="4948DB9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7"/>
  </w:num>
  <w:num w:numId="3">
    <w:abstractNumId w:val="4"/>
  </w:num>
  <w:num w:numId="4">
    <w:abstractNumId w:val="3"/>
    <w:lvlOverride w:ilvl="0">
      <w:lvl w:ilvl="0">
        <w:start w:val="1"/>
        <w:numFmt w:val="decimal"/>
        <w:pStyle w:val="Heading10"/>
        <w:lvlText w:val="%1."/>
        <w:lvlJc w:val="left"/>
        <w:pPr>
          <w:ind w:left="360" w:hanging="360"/>
        </w:pPr>
        <w:rPr>
          <w:rFonts w:hint="default"/>
          <w:b/>
          <w:color w:val="auto"/>
          <w:sz w:val="28"/>
          <w:szCs w:val="28"/>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5"/>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100B6"/>
    <w:rsid w:val="0001177F"/>
    <w:rsid w:val="000118E2"/>
    <w:rsid w:val="000138E1"/>
    <w:rsid w:val="00014772"/>
    <w:rsid w:val="00014CF2"/>
    <w:rsid w:val="000214D0"/>
    <w:rsid w:val="00022F89"/>
    <w:rsid w:val="000309F5"/>
    <w:rsid w:val="000332F2"/>
    <w:rsid w:val="00037174"/>
    <w:rsid w:val="00037B16"/>
    <w:rsid w:val="00040C15"/>
    <w:rsid w:val="00040E9B"/>
    <w:rsid w:val="0004203D"/>
    <w:rsid w:val="00042069"/>
    <w:rsid w:val="00044B93"/>
    <w:rsid w:val="000466C0"/>
    <w:rsid w:val="00047288"/>
    <w:rsid w:val="00051F9B"/>
    <w:rsid w:val="00055FA4"/>
    <w:rsid w:val="000567E2"/>
    <w:rsid w:val="00056A8C"/>
    <w:rsid w:val="00063006"/>
    <w:rsid w:val="00063F8C"/>
    <w:rsid w:val="000647B0"/>
    <w:rsid w:val="00065C6B"/>
    <w:rsid w:val="00080091"/>
    <w:rsid w:val="00081631"/>
    <w:rsid w:val="000865E0"/>
    <w:rsid w:val="000907A9"/>
    <w:rsid w:val="0009529C"/>
    <w:rsid w:val="00095AF9"/>
    <w:rsid w:val="00095F9F"/>
    <w:rsid w:val="000A1F0D"/>
    <w:rsid w:val="000A217A"/>
    <w:rsid w:val="000A28A0"/>
    <w:rsid w:val="000B1080"/>
    <w:rsid w:val="000B16CC"/>
    <w:rsid w:val="000B213E"/>
    <w:rsid w:val="000B4624"/>
    <w:rsid w:val="000B7B80"/>
    <w:rsid w:val="000C061E"/>
    <w:rsid w:val="000C07AC"/>
    <w:rsid w:val="000C5641"/>
    <w:rsid w:val="000C66A9"/>
    <w:rsid w:val="000D0E71"/>
    <w:rsid w:val="000D618A"/>
    <w:rsid w:val="000D6CB9"/>
    <w:rsid w:val="000E24CE"/>
    <w:rsid w:val="000E2C37"/>
    <w:rsid w:val="000E3A6F"/>
    <w:rsid w:val="000E4979"/>
    <w:rsid w:val="000E6ADA"/>
    <w:rsid w:val="000F0BDC"/>
    <w:rsid w:val="000F2717"/>
    <w:rsid w:val="000F6641"/>
    <w:rsid w:val="00102F13"/>
    <w:rsid w:val="001041F9"/>
    <w:rsid w:val="001048BA"/>
    <w:rsid w:val="0011144A"/>
    <w:rsid w:val="00111AB1"/>
    <w:rsid w:val="00112B8E"/>
    <w:rsid w:val="00112B99"/>
    <w:rsid w:val="00112BEB"/>
    <w:rsid w:val="00114F0B"/>
    <w:rsid w:val="001161EF"/>
    <w:rsid w:val="00122ED0"/>
    <w:rsid w:val="0012519B"/>
    <w:rsid w:val="00127C83"/>
    <w:rsid w:val="00134ABF"/>
    <w:rsid w:val="001352CE"/>
    <w:rsid w:val="00135B56"/>
    <w:rsid w:val="00150A2B"/>
    <w:rsid w:val="00152349"/>
    <w:rsid w:val="0015398A"/>
    <w:rsid w:val="00156CED"/>
    <w:rsid w:val="00160A81"/>
    <w:rsid w:val="00161AD2"/>
    <w:rsid w:val="001635E9"/>
    <w:rsid w:val="00164909"/>
    <w:rsid w:val="00166C2A"/>
    <w:rsid w:val="0017087A"/>
    <w:rsid w:val="00171113"/>
    <w:rsid w:val="00180455"/>
    <w:rsid w:val="00182077"/>
    <w:rsid w:val="001833B5"/>
    <w:rsid w:val="00184FE3"/>
    <w:rsid w:val="00191CCB"/>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477A"/>
    <w:rsid w:val="001C55C2"/>
    <w:rsid w:val="001C59CD"/>
    <w:rsid w:val="001C6D2B"/>
    <w:rsid w:val="001D0647"/>
    <w:rsid w:val="001D508E"/>
    <w:rsid w:val="001E1528"/>
    <w:rsid w:val="001E3EEC"/>
    <w:rsid w:val="001E403E"/>
    <w:rsid w:val="001E445E"/>
    <w:rsid w:val="001E5AF6"/>
    <w:rsid w:val="001E5BB1"/>
    <w:rsid w:val="001E6910"/>
    <w:rsid w:val="001F16AD"/>
    <w:rsid w:val="001F3CFB"/>
    <w:rsid w:val="001F755B"/>
    <w:rsid w:val="001F7D5A"/>
    <w:rsid w:val="00200B60"/>
    <w:rsid w:val="0020142B"/>
    <w:rsid w:val="00203B7F"/>
    <w:rsid w:val="0020593B"/>
    <w:rsid w:val="00206835"/>
    <w:rsid w:val="002076E4"/>
    <w:rsid w:val="00207C5A"/>
    <w:rsid w:val="00207DE9"/>
    <w:rsid w:val="0021069D"/>
    <w:rsid w:val="00212E86"/>
    <w:rsid w:val="00213141"/>
    <w:rsid w:val="002169BF"/>
    <w:rsid w:val="00216FF7"/>
    <w:rsid w:val="00222704"/>
    <w:rsid w:val="00223AA7"/>
    <w:rsid w:val="00224985"/>
    <w:rsid w:val="002255EF"/>
    <w:rsid w:val="00226E4A"/>
    <w:rsid w:val="00230971"/>
    <w:rsid w:val="00233382"/>
    <w:rsid w:val="002343C0"/>
    <w:rsid w:val="00234463"/>
    <w:rsid w:val="00237825"/>
    <w:rsid w:val="00237B28"/>
    <w:rsid w:val="00240743"/>
    <w:rsid w:val="00240E20"/>
    <w:rsid w:val="0024163C"/>
    <w:rsid w:val="00242D19"/>
    <w:rsid w:val="00244DFE"/>
    <w:rsid w:val="00245588"/>
    <w:rsid w:val="002455D7"/>
    <w:rsid w:val="002470C8"/>
    <w:rsid w:val="002614E8"/>
    <w:rsid w:val="0026188F"/>
    <w:rsid w:val="00262540"/>
    <w:rsid w:val="00262A90"/>
    <w:rsid w:val="00263F49"/>
    <w:rsid w:val="00271865"/>
    <w:rsid w:val="0027209F"/>
    <w:rsid w:val="002724C1"/>
    <w:rsid w:val="002769C8"/>
    <w:rsid w:val="0028203B"/>
    <w:rsid w:val="002828E2"/>
    <w:rsid w:val="00287985"/>
    <w:rsid w:val="0029265C"/>
    <w:rsid w:val="002A39DE"/>
    <w:rsid w:val="002A43B2"/>
    <w:rsid w:val="002A513D"/>
    <w:rsid w:val="002B6711"/>
    <w:rsid w:val="002B6901"/>
    <w:rsid w:val="002C220C"/>
    <w:rsid w:val="002C3AF5"/>
    <w:rsid w:val="002C4AE2"/>
    <w:rsid w:val="002D3074"/>
    <w:rsid w:val="002E2188"/>
    <w:rsid w:val="002E404D"/>
    <w:rsid w:val="002E6879"/>
    <w:rsid w:val="002E795E"/>
    <w:rsid w:val="002F09DF"/>
    <w:rsid w:val="002F2CF8"/>
    <w:rsid w:val="002F2FAB"/>
    <w:rsid w:val="002F4216"/>
    <w:rsid w:val="002F77C9"/>
    <w:rsid w:val="00300C24"/>
    <w:rsid w:val="00303BE5"/>
    <w:rsid w:val="00304D5C"/>
    <w:rsid w:val="00310EF5"/>
    <w:rsid w:val="003129E4"/>
    <w:rsid w:val="00314964"/>
    <w:rsid w:val="003153AF"/>
    <w:rsid w:val="00316537"/>
    <w:rsid w:val="00317ACE"/>
    <w:rsid w:val="003251F2"/>
    <w:rsid w:val="0032566E"/>
    <w:rsid w:val="00330BD2"/>
    <w:rsid w:val="00333E5F"/>
    <w:rsid w:val="00343313"/>
    <w:rsid w:val="00343B0C"/>
    <w:rsid w:val="00345CDF"/>
    <w:rsid w:val="00350000"/>
    <w:rsid w:val="00350295"/>
    <w:rsid w:val="00350F77"/>
    <w:rsid w:val="00351E65"/>
    <w:rsid w:val="0035319B"/>
    <w:rsid w:val="003573B4"/>
    <w:rsid w:val="00361211"/>
    <w:rsid w:val="003625AB"/>
    <w:rsid w:val="00370F77"/>
    <w:rsid w:val="00375EB1"/>
    <w:rsid w:val="00382ADF"/>
    <w:rsid w:val="0039018A"/>
    <w:rsid w:val="003909B6"/>
    <w:rsid w:val="003923A2"/>
    <w:rsid w:val="003932D7"/>
    <w:rsid w:val="00393B37"/>
    <w:rsid w:val="0039734F"/>
    <w:rsid w:val="003A184B"/>
    <w:rsid w:val="003A1880"/>
    <w:rsid w:val="003A4C04"/>
    <w:rsid w:val="003A567B"/>
    <w:rsid w:val="003B1ABB"/>
    <w:rsid w:val="003B25E8"/>
    <w:rsid w:val="003B2C96"/>
    <w:rsid w:val="003B628D"/>
    <w:rsid w:val="003B7E94"/>
    <w:rsid w:val="003C12BF"/>
    <w:rsid w:val="003C2C91"/>
    <w:rsid w:val="003C35A4"/>
    <w:rsid w:val="003D2D69"/>
    <w:rsid w:val="003D3904"/>
    <w:rsid w:val="003D4877"/>
    <w:rsid w:val="003D4CAA"/>
    <w:rsid w:val="003D6082"/>
    <w:rsid w:val="003D7107"/>
    <w:rsid w:val="003E15EC"/>
    <w:rsid w:val="003E2874"/>
    <w:rsid w:val="003E50AF"/>
    <w:rsid w:val="003E574B"/>
    <w:rsid w:val="003E5C84"/>
    <w:rsid w:val="003F05B5"/>
    <w:rsid w:val="003F0A4B"/>
    <w:rsid w:val="003F17BC"/>
    <w:rsid w:val="003F2506"/>
    <w:rsid w:val="003F5934"/>
    <w:rsid w:val="003F5C52"/>
    <w:rsid w:val="003F616F"/>
    <w:rsid w:val="003F7C85"/>
    <w:rsid w:val="00402FF6"/>
    <w:rsid w:val="00403FC1"/>
    <w:rsid w:val="00410192"/>
    <w:rsid w:val="00413263"/>
    <w:rsid w:val="00414B63"/>
    <w:rsid w:val="00417DAB"/>
    <w:rsid w:val="00421A4E"/>
    <w:rsid w:val="00421F70"/>
    <w:rsid w:val="0042635A"/>
    <w:rsid w:val="00430D7A"/>
    <w:rsid w:val="0043256B"/>
    <w:rsid w:val="00432DA9"/>
    <w:rsid w:val="00435227"/>
    <w:rsid w:val="004354E8"/>
    <w:rsid w:val="00441947"/>
    <w:rsid w:val="00443697"/>
    <w:rsid w:val="004571F2"/>
    <w:rsid w:val="0045782A"/>
    <w:rsid w:val="00461D57"/>
    <w:rsid w:val="00462C4F"/>
    <w:rsid w:val="00463E76"/>
    <w:rsid w:val="00465987"/>
    <w:rsid w:val="00466259"/>
    <w:rsid w:val="00466A8B"/>
    <w:rsid w:val="00472C64"/>
    <w:rsid w:val="004740D0"/>
    <w:rsid w:val="004749B4"/>
    <w:rsid w:val="00475044"/>
    <w:rsid w:val="00475594"/>
    <w:rsid w:val="00482C00"/>
    <w:rsid w:val="00482DC7"/>
    <w:rsid w:val="00483431"/>
    <w:rsid w:val="004843E1"/>
    <w:rsid w:val="00486B92"/>
    <w:rsid w:val="00491F60"/>
    <w:rsid w:val="00492151"/>
    <w:rsid w:val="00493406"/>
    <w:rsid w:val="004935A2"/>
    <w:rsid w:val="00493B72"/>
    <w:rsid w:val="004947C1"/>
    <w:rsid w:val="004A062C"/>
    <w:rsid w:val="004A1108"/>
    <w:rsid w:val="004A2EE9"/>
    <w:rsid w:val="004A42C4"/>
    <w:rsid w:val="004A4984"/>
    <w:rsid w:val="004A6A53"/>
    <w:rsid w:val="004B0546"/>
    <w:rsid w:val="004B4B1C"/>
    <w:rsid w:val="004B4E32"/>
    <w:rsid w:val="004B78EB"/>
    <w:rsid w:val="004C00CD"/>
    <w:rsid w:val="004C0C85"/>
    <w:rsid w:val="004C1698"/>
    <w:rsid w:val="004C1B0D"/>
    <w:rsid w:val="004C1E3C"/>
    <w:rsid w:val="004C44C5"/>
    <w:rsid w:val="004C487C"/>
    <w:rsid w:val="004C5E57"/>
    <w:rsid w:val="004C69B5"/>
    <w:rsid w:val="004C6B7F"/>
    <w:rsid w:val="004D36A1"/>
    <w:rsid w:val="004D5CF7"/>
    <w:rsid w:val="004D7D52"/>
    <w:rsid w:val="004E018D"/>
    <w:rsid w:val="004E4E2B"/>
    <w:rsid w:val="004E7B1C"/>
    <w:rsid w:val="004F014D"/>
    <w:rsid w:val="004F03DD"/>
    <w:rsid w:val="004F1637"/>
    <w:rsid w:val="004F364C"/>
    <w:rsid w:val="004F3B15"/>
    <w:rsid w:val="004F6057"/>
    <w:rsid w:val="004F62DC"/>
    <w:rsid w:val="00501E77"/>
    <w:rsid w:val="005025ED"/>
    <w:rsid w:val="00504FA7"/>
    <w:rsid w:val="0051016B"/>
    <w:rsid w:val="00510B45"/>
    <w:rsid w:val="00511050"/>
    <w:rsid w:val="00511121"/>
    <w:rsid w:val="005138C6"/>
    <w:rsid w:val="00515E94"/>
    <w:rsid w:val="00517D18"/>
    <w:rsid w:val="00522DC2"/>
    <w:rsid w:val="0052476C"/>
    <w:rsid w:val="00527A84"/>
    <w:rsid w:val="00527B30"/>
    <w:rsid w:val="0053371E"/>
    <w:rsid w:val="005337C6"/>
    <w:rsid w:val="00535442"/>
    <w:rsid w:val="00544FB6"/>
    <w:rsid w:val="00551A19"/>
    <w:rsid w:val="00557FBC"/>
    <w:rsid w:val="005628D8"/>
    <w:rsid w:val="00562D6D"/>
    <w:rsid w:val="00563A69"/>
    <w:rsid w:val="00566EA3"/>
    <w:rsid w:val="005708DC"/>
    <w:rsid w:val="00570D08"/>
    <w:rsid w:val="00581E07"/>
    <w:rsid w:val="00583213"/>
    <w:rsid w:val="00585773"/>
    <w:rsid w:val="00585A1B"/>
    <w:rsid w:val="00586D0C"/>
    <w:rsid w:val="00591174"/>
    <w:rsid w:val="005915C7"/>
    <w:rsid w:val="005918E9"/>
    <w:rsid w:val="005970E7"/>
    <w:rsid w:val="0059794F"/>
    <w:rsid w:val="00597AE2"/>
    <w:rsid w:val="005A3180"/>
    <w:rsid w:val="005A5344"/>
    <w:rsid w:val="005B132B"/>
    <w:rsid w:val="005B1C5F"/>
    <w:rsid w:val="005B268E"/>
    <w:rsid w:val="005B4515"/>
    <w:rsid w:val="005C15E4"/>
    <w:rsid w:val="005C3125"/>
    <w:rsid w:val="005C31A9"/>
    <w:rsid w:val="005C4279"/>
    <w:rsid w:val="005C6396"/>
    <w:rsid w:val="005D1F6B"/>
    <w:rsid w:val="005D391F"/>
    <w:rsid w:val="005E0408"/>
    <w:rsid w:val="005E041B"/>
    <w:rsid w:val="005E0837"/>
    <w:rsid w:val="005E0AC7"/>
    <w:rsid w:val="005E1E09"/>
    <w:rsid w:val="005E2C99"/>
    <w:rsid w:val="005F1427"/>
    <w:rsid w:val="005F292F"/>
    <w:rsid w:val="005F3775"/>
    <w:rsid w:val="005F3E9D"/>
    <w:rsid w:val="00603B1D"/>
    <w:rsid w:val="006055E4"/>
    <w:rsid w:val="006062F7"/>
    <w:rsid w:val="006136A5"/>
    <w:rsid w:val="0061477C"/>
    <w:rsid w:val="006150B5"/>
    <w:rsid w:val="0061771B"/>
    <w:rsid w:val="00621FA8"/>
    <w:rsid w:val="00626EF8"/>
    <w:rsid w:val="006272AA"/>
    <w:rsid w:val="00630884"/>
    <w:rsid w:val="006310D7"/>
    <w:rsid w:val="00631F57"/>
    <w:rsid w:val="00636111"/>
    <w:rsid w:val="0064440E"/>
    <w:rsid w:val="00653A10"/>
    <w:rsid w:val="00653F3E"/>
    <w:rsid w:val="0065484A"/>
    <w:rsid w:val="00655145"/>
    <w:rsid w:val="0066073B"/>
    <w:rsid w:val="0066271E"/>
    <w:rsid w:val="0066442C"/>
    <w:rsid w:val="00667E55"/>
    <w:rsid w:val="00667ECF"/>
    <w:rsid w:val="00673E6A"/>
    <w:rsid w:val="00675537"/>
    <w:rsid w:val="00675E4A"/>
    <w:rsid w:val="00680CEE"/>
    <w:rsid w:val="00681D42"/>
    <w:rsid w:val="00682EB6"/>
    <w:rsid w:val="00683C65"/>
    <w:rsid w:val="00684B6A"/>
    <w:rsid w:val="00684ECC"/>
    <w:rsid w:val="00686E2E"/>
    <w:rsid w:val="00687060"/>
    <w:rsid w:val="00690DAB"/>
    <w:rsid w:val="0069653C"/>
    <w:rsid w:val="0069744E"/>
    <w:rsid w:val="006A4A87"/>
    <w:rsid w:val="006A6754"/>
    <w:rsid w:val="006A6867"/>
    <w:rsid w:val="006A6F6A"/>
    <w:rsid w:val="006B2F2F"/>
    <w:rsid w:val="006B77D1"/>
    <w:rsid w:val="006C2394"/>
    <w:rsid w:val="006C3085"/>
    <w:rsid w:val="006E060F"/>
    <w:rsid w:val="006E0F5F"/>
    <w:rsid w:val="006E2008"/>
    <w:rsid w:val="006E203B"/>
    <w:rsid w:val="006E25B3"/>
    <w:rsid w:val="006E2A7A"/>
    <w:rsid w:val="006E3879"/>
    <w:rsid w:val="006E4D56"/>
    <w:rsid w:val="006E5714"/>
    <w:rsid w:val="006E6C21"/>
    <w:rsid w:val="006E770D"/>
    <w:rsid w:val="006F16BD"/>
    <w:rsid w:val="006F4770"/>
    <w:rsid w:val="006F57D3"/>
    <w:rsid w:val="006F5BC9"/>
    <w:rsid w:val="0070233F"/>
    <w:rsid w:val="007112DF"/>
    <w:rsid w:val="00712725"/>
    <w:rsid w:val="007169F5"/>
    <w:rsid w:val="007211A0"/>
    <w:rsid w:val="00721934"/>
    <w:rsid w:val="0072396F"/>
    <w:rsid w:val="00725AC9"/>
    <w:rsid w:val="0072711B"/>
    <w:rsid w:val="007271AF"/>
    <w:rsid w:val="00730303"/>
    <w:rsid w:val="007325CF"/>
    <w:rsid w:val="007325DC"/>
    <w:rsid w:val="00732981"/>
    <w:rsid w:val="00733AB1"/>
    <w:rsid w:val="00735834"/>
    <w:rsid w:val="007361A2"/>
    <w:rsid w:val="00741651"/>
    <w:rsid w:val="00742389"/>
    <w:rsid w:val="00744EE0"/>
    <w:rsid w:val="00752A20"/>
    <w:rsid w:val="00761B33"/>
    <w:rsid w:val="00763114"/>
    <w:rsid w:val="0076600A"/>
    <w:rsid w:val="00766C6A"/>
    <w:rsid w:val="00766EF5"/>
    <w:rsid w:val="00770AAA"/>
    <w:rsid w:val="007737C4"/>
    <w:rsid w:val="00777073"/>
    <w:rsid w:val="00783359"/>
    <w:rsid w:val="00785641"/>
    <w:rsid w:val="007872D9"/>
    <w:rsid w:val="00793950"/>
    <w:rsid w:val="00796480"/>
    <w:rsid w:val="007A17AE"/>
    <w:rsid w:val="007A3891"/>
    <w:rsid w:val="007A65B0"/>
    <w:rsid w:val="007B00C0"/>
    <w:rsid w:val="007B104A"/>
    <w:rsid w:val="007B3740"/>
    <w:rsid w:val="007B72E5"/>
    <w:rsid w:val="007B7475"/>
    <w:rsid w:val="007C0E8C"/>
    <w:rsid w:val="007C18D2"/>
    <w:rsid w:val="007D2BAB"/>
    <w:rsid w:val="007D3062"/>
    <w:rsid w:val="007D5B99"/>
    <w:rsid w:val="007E0CAA"/>
    <w:rsid w:val="007E535E"/>
    <w:rsid w:val="007E61A0"/>
    <w:rsid w:val="007E7E23"/>
    <w:rsid w:val="007F6ABE"/>
    <w:rsid w:val="007F7982"/>
    <w:rsid w:val="00800008"/>
    <w:rsid w:val="0080065E"/>
    <w:rsid w:val="008016C3"/>
    <w:rsid w:val="0080195A"/>
    <w:rsid w:val="00810848"/>
    <w:rsid w:val="0081170D"/>
    <w:rsid w:val="00813091"/>
    <w:rsid w:val="008215CE"/>
    <w:rsid w:val="00827A27"/>
    <w:rsid w:val="00830223"/>
    <w:rsid w:val="0083174A"/>
    <w:rsid w:val="00841497"/>
    <w:rsid w:val="00844F89"/>
    <w:rsid w:val="00847389"/>
    <w:rsid w:val="00847A42"/>
    <w:rsid w:val="00847CDD"/>
    <w:rsid w:val="00850393"/>
    <w:rsid w:val="008521DD"/>
    <w:rsid w:val="00852767"/>
    <w:rsid w:val="00854F34"/>
    <w:rsid w:val="00856C32"/>
    <w:rsid w:val="00861083"/>
    <w:rsid w:val="0086110C"/>
    <w:rsid w:val="00865449"/>
    <w:rsid w:val="00867141"/>
    <w:rsid w:val="008674AC"/>
    <w:rsid w:val="008679CC"/>
    <w:rsid w:val="0087014D"/>
    <w:rsid w:val="008702FE"/>
    <w:rsid w:val="0087447C"/>
    <w:rsid w:val="008800F3"/>
    <w:rsid w:val="00881284"/>
    <w:rsid w:val="00881B51"/>
    <w:rsid w:val="00881DB6"/>
    <w:rsid w:val="00883F81"/>
    <w:rsid w:val="00886D58"/>
    <w:rsid w:val="0089113B"/>
    <w:rsid w:val="0089581D"/>
    <w:rsid w:val="00897DE6"/>
    <w:rsid w:val="008A25FA"/>
    <w:rsid w:val="008A360D"/>
    <w:rsid w:val="008A4101"/>
    <w:rsid w:val="008B2BDD"/>
    <w:rsid w:val="008B50BA"/>
    <w:rsid w:val="008C1A59"/>
    <w:rsid w:val="008C1D03"/>
    <w:rsid w:val="008C2CD3"/>
    <w:rsid w:val="008C666D"/>
    <w:rsid w:val="008C7647"/>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6853"/>
    <w:rsid w:val="00906D77"/>
    <w:rsid w:val="00911CD5"/>
    <w:rsid w:val="00916653"/>
    <w:rsid w:val="0091682F"/>
    <w:rsid w:val="00920445"/>
    <w:rsid w:val="00921DCB"/>
    <w:rsid w:val="009229DA"/>
    <w:rsid w:val="00922BA1"/>
    <w:rsid w:val="00922CF2"/>
    <w:rsid w:val="00925A59"/>
    <w:rsid w:val="00925EF4"/>
    <w:rsid w:val="00927253"/>
    <w:rsid w:val="009301FC"/>
    <w:rsid w:val="009321EA"/>
    <w:rsid w:val="009347D4"/>
    <w:rsid w:val="0094103E"/>
    <w:rsid w:val="0094413C"/>
    <w:rsid w:val="009456B7"/>
    <w:rsid w:val="00945961"/>
    <w:rsid w:val="009475B4"/>
    <w:rsid w:val="00952DFC"/>
    <w:rsid w:val="009530AA"/>
    <w:rsid w:val="00953821"/>
    <w:rsid w:val="0095632B"/>
    <w:rsid w:val="00956989"/>
    <w:rsid w:val="00965A1D"/>
    <w:rsid w:val="00965E82"/>
    <w:rsid w:val="00970816"/>
    <w:rsid w:val="00971725"/>
    <w:rsid w:val="009718AF"/>
    <w:rsid w:val="00977AA4"/>
    <w:rsid w:val="00980670"/>
    <w:rsid w:val="00981ACB"/>
    <w:rsid w:val="00983066"/>
    <w:rsid w:val="0098375A"/>
    <w:rsid w:val="00992C39"/>
    <w:rsid w:val="00993A5C"/>
    <w:rsid w:val="009949C1"/>
    <w:rsid w:val="0099564C"/>
    <w:rsid w:val="00995AF2"/>
    <w:rsid w:val="00996FF7"/>
    <w:rsid w:val="009A078A"/>
    <w:rsid w:val="009A0FA9"/>
    <w:rsid w:val="009A4052"/>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53B1"/>
    <w:rsid w:val="009F0D88"/>
    <w:rsid w:val="009F2744"/>
    <w:rsid w:val="009F3309"/>
    <w:rsid w:val="009F3A48"/>
    <w:rsid w:val="009F3F21"/>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47CF"/>
    <w:rsid w:val="00A572F3"/>
    <w:rsid w:val="00A61CB9"/>
    <w:rsid w:val="00A63332"/>
    <w:rsid w:val="00A6540D"/>
    <w:rsid w:val="00A66CE5"/>
    <w:rsid w:val="00A67184"/>
    <w:rsid w:val="00A7242F"/>
    <w:rsid w:val="00A74C4C"/>
    <w:rsid w:val="00A7597D"/>
    <w:rsid w:val="00A76D09"/>
    <w:rsid w:val="00A82AD1"/>
    <w:rsid w:val="00A82E67"/>
    <w:rsid w:val="00A838EF"/>
    <w:rsid w:val="00A83B26"/>
    <w:rsid w:val="00A848E9"/>
    <w:rsid w:val="00A87A8B"/>
    <w:rsid w:val="00A9084D"/>
    <w:rsid w:val="00A92638"/>
    <w:rsid w:val="00AA0338"/>
    <w:rsid w:val="00AA072A"/>
    <w:rsid w:val="00AA0B75"/>
    <w:rsid w:val="00AA24A8"/>
    <w:rsid w:val="00AA515B"/>
    <w:rsid w:val="00AB43BC"/>
    <w:rsid w:val="00AC0555"/>
    <w:rsid w:val="00AC160E"/>
    <w:rsid w:val="00AC1FA5"/>
    <w:rsid w:val="00AC76C9"/>
    <w:rsid w:val="00AC7D29"/>
    <w:rsid w:val="00AD2A2C"/>
    <w:rsid w:val="00AD2B43"/>
    <w:rsid w:val="00AD4155"/>
    <w:rsid w:val="00AD5F92"/>
    <w:rsid w:val="00AE1D08"/>
    <w:rsid w:val="00AE1D91"/>
    <w:rsid w:val="00AE273A"/>
    <w:rsid w:val="00AE2923"/>
    <w:rsid w:val="00AE62B7"/>
    <w:rsid w:val="00AF00AB"/>
    <w:rsid w:val="00AF00B6"/>
    <w:rsid w:val="00AF0866"/>
    <w:rsid w:val="00AF0DA5"/>
    <w:rsid w:val="00AF3350"/>
    <w:rsid w:val="00AF4375"/>
    <w:rsid w:val="00AF7E0E"/>
    <w:rsid w:val="00B00721"/>
    <w:rsid w:val="00B00D9F"/>
    <w:rsid w:val="00B01464"/>
    <w:rsid w:val="00B04553"/>
    <w:rsid w:val="00B050F4"/>
    <w:rsid w:val="00B061C4"/>
    <w:rsid w:val="00B0737B"/>
    <w:rsid w:val="00B10C3A"/>
    <w:rsid w:val="00B11932"/>
    <w:rsid w:val="00B11D08"/>
    <w:rsid w:val="00B15432"/>
    <w:rsid w:val="00B1714E"/>
    <w:rsid w:val="00B23C2B"/>
    <w:rsid w:val="00B23F1B"/>
    <w:rsid w:val="00B27B9F"/>
    <w:rsid w:val="00B319DE"/>
    <w:rsid w:val="00B33428"/>
    <w:rsid w:val="00B42F4D"/>
    <w:rsid w:val="00B454C2"/>
    <w:rsid w:val="00B46687"/>
    <w:rsid w:val="00B5076A"/>
    <w:rsid w:val="00B50959"/>
    <w:rsid w:val="00B55008"/>
    <w:rsid w:val="00B611CA"/>
    <w:rsid w:val="00B6384F"/>
    <w:rsid w:val="00B666E4"/>
    <w:rsid w:val="00B7381C"/>
    <w:rsid w:val="00B76721"/>
    <w:rsid w:val="00B80981"/>
    <w:rsid w:val="00B81BF1"/>
    <w:rsid w:val="00B83066"/>
    <w:rsid w:val="00B84183"/>
    <w:rsid w:val="00B86FF4"/>
    <w:rsid w:val="00B877CC"/>
    <w:rsid w:val="00B87DFE"/>
    <w:rsid w:val="00B9340B"/>
    <w:rsid w:val="00B93CEE"/>
    <w:rsid w:val="00B942D5"/>
    <w:rsid w:val="00B97313"/>
    <w:rsid w:val="00BA08A1"/>
    <w:rsid w:val="00BA0E44"/>
    <w:rsid w:val="00BA7C96"/>
    <w:rsid w:val="00BB467B"/>
    <w:rsid w:val="00BB7263"/>
    <w:rsid w:val="00BB7420"/>
    <w:rsid w:val="00BC018F"/>
    <w:rsid w:val="00BC6018"/>
    <w:rsid w:val="00BC7B61"/>
    <w:rsid w:val="00BD158B"/>
    <w:rsid w:val="00BD1FEF"/>
    <w:rsid w:val="00BD69AF"/>
    <w:rsid w:val="00BD7245"/>
    <w:rsid w:val="00BE135F"/>
    <w:rsid w:val="00BE31B1"/>
    <w:rsid w:val="00BE4904"/>
    <w:rsid w:val="00BE5FA0"/>
    <w:rsid w:val="00BE7DF8"/>
    <w:rsid w:val="00BF2BDC"/>
    <w:rsid w:val="00BF5916"/>
    <w:rsid w:val="00C008E4"/>
    <w:rsid w:val="00C04D58"/>
    <w:rsid w:val="00C15C14"/>
    <w:rsid w:val="00C21072"/>
    <w:rsid w:val="00C211F9"/>
    <w:rsid w:val="00C2373C"/>
    <w:rsid w:val="00C2487B"/>
    <w:rsid w:val="00C27215"/>
    <w:rsid w:val="00C37375"/>
    <w:rsid w:val="00C40B63"/>
    <w:rsid w:val="00C40B7C"/>
    <w:rsid w:val="00C41284"/>
    <w:rsid w:val="00C42F7A"/>
    <w:rsid w:val="00C46E7E"/>
    <w:rsid w:val="00C50E27"/>
    <w:rsid w:val="00C54B21"/>
    <w:rsid w:val="00C55C33"/>
    <w:rsid w:val="00C55FDB"/>
    <w:rsid w:val="00C562AD"/>
    <w:rsid w:val="00C5671B"/>
    <w:rsid w:val="00C61466"/>
    <w:rsid w:val="00C61F91"/>
    <w:rsid w:val="00C623DA"/>
    <w:rsid w:val="00C64947"/>
    <w:rsid w:val="00C659AA"/>
    <w:rsid w:val="00C71CAC"/>
    <w:rsid w:val="00C72015"/>
    <w:rsid w:val="00C723FA"/>
    <w:rsid w:val="00C72452"/>
    <w:rsid w:val="00C73B22"/>
    <w:rsid w:val="00C75B5A"/>
    <w:rsid w:val="00C804B5"/>
    <w:rsid w:val="00C82610"/>
    <w:rsid w:val="00C8446D"/>
    <w:rsid w:val="00C869E2"/>
    <w:rsid w:val="00C90FE4"/>
    <w:rsid w:val="00C91830"/>
    <w:rsid w:val="00C918A4"/>
    <w:rsid w:val="00C92E68"/>
    <w:rsid w:val="00C95D0F"/>
    <w:rsid w:val="00C96500"/>
    <w:rsid w:val="00CA738C"/>
    <w:rsid w:val="00CB09E1"/>
    <w:rsid w:val="00CB0DBC"/>
    <w:rsid w:val="00CB2979"/>
    <w:rsid w:val="00CC1633"/>
    <w:rsid w:val="00CC4DB9"/>
    <w:rsid w:val="00CC5483"/>
    <w:rsid w:val="00CD05D9"/>
    <w:rsid w:val="00CD0982"/>
    <w:rsid w:val="00CD20CB"/>
    <w:rsid w:val="00CD2975"/>
    <w:rsid w:val="00CD3E33"/>
    <w:rsid w:val="00CD4C43"/>
    <w:rsid w:val="00CD6512"/>
    <w:rsid w:val="00CE1A35"/>
    <w:rsid w:val="00CE22EA"/>
    <w:rsid w:val="00CE5026"/>
    <w:rsid w:val="00CE5CDC"/>
    <w:rsid w:val="00CF0D45"/>
    <w:rsid w:val="00CF47ED"/>
    <w:rsid w:val="00D067C0"/>
    <w:rsid w:val="00D06B48"/>
    <w:rsid w:val="00D06CE6"/>
    <w:rsid w:val="00D16710"/>
    <w:rsid w:val="00D2054E"/>
    <w:rsid w:val="00D244CB"/>
    <w:rsid w:val="00D31485"/>
    <w:rsid w:val="00D3437B"/>
    <w:rsid w:val="00D3592E"/>
    <w:rsid w:val="00D36009"/>
    <w:rsid w:val="00D37437"/>
    <w:rsid w:val="00D40690"/>
    <w:rsid w:val="00D4270D"/>
    <w:rsid w:val="00D43792"/>
    <w:rsid w:val="00D441E0"/>
    <w:rsid w:val="00D47364"/>
    <w:rsid w:val="00D50DEA"/>
    <w:rsid w:val="00D51BE9"/>
    <w:rsid w:val="00D51E45"/>
    <w:rsid w:val="00D53967"/>
    <w:rsid w:val="00D540A7"/>
    <w:rsid w:val="00D559E2"/>
    <w:rsid w:val="00D55C4F"/>
    <w:rsid w:val="00D6119F"/>
    <w:rsid w:val="00D6605E"/>
    <w:rsid w:val="00D673EF"/>
    <w:rsid w:val="00D67C4E"/>
    <w:rsid w:val="00D70413"/>
    <w:rsid w:val="00D71EFE"/>
    <w:rsid w:val="00D722F5"/>
    <w:rsid w:val="00D748C2"/>
    <w:rsid w:val="00D75510"/>
    <w:rsid w:val="00D76708"/>
    <w:rsid w:val="00D77899"/>
    <w:rsid w:val="00D83975"/>
    <w:rsid w:val="00D87076"/>
    <w:rsid w:val="00D9360D"/>
    <w:rsid w:val="00D9522E"/>
    <w:rsid w:val="00D96E4C"/>
    <w:rsid w:val="00DA129B"/>
    <w:rsid w:val="00DA3947"/>
    <w:rsid w:val="00DA4E5D"/>
    <w:rsid w:val="00DA5D36"/>
    <w:rsid w:val="00DB1EB3"/>
    <w:rsid w:val="00DB26DD"/>
    <w:rsid w:val="00DC58C7"/>
    <w:rsid w:val="00DC68C3"/>
    <w:rsid w:val="00DC6B61"/>
    <w:rsid w:val="00DC75B6"/>
    <w:rsid w:val="00DC7ED7"/>
    <w:rsid w:val="00DD053F"/>
    <w:rsid w:val="00DD0975"/>
    <w:rsid w:val="00DD3C82"/>
    <w:rsid w:val="00DD3D7E"/>
    <w:rsid w:val="00DD3EF1"/>
    <w:rsid w:val="00DD6EE4"/>
    <w:rsid w:val="00DD788B"/>
    <w:rsid w:val="00DE5C71"/>
    <w:rsid w:val="00DF1F47"/>
    <w:rsid w:val="00DF73DB"/>
    <w:rsid w:val="00DF7667"/>
    <w:rsid w:val="00DF7DFC"/>
    <w:rsid w:val="00E00078"/>
    <w:rsid w:val="00E0759D"/>
    <w:rsid w:val="00E13ABB"/>
    <w:rsid w:val="00E14F08"/>
    <w:rsid w:val="00E1518C"/>
    <w:rsid w:val="00E15644"/>
    <w:rsid w:val="00E1780F"/>
    <w:rsid w:val="00E20992"/>
    <w:rsid w:val="00E20E63"/>
    <w:rsid w:val="00E228D7"/>
    <w:rsid w:val="00E23C56"/>
    <w:rsid w:val="00E25CFF"/>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EAB"/>
    <w:rsid w:val="00E6064D"/>
    <w:rsid w:val="00E60CCA"/>
    <w:rsid w:val="00E61271"/>
    <w:rsid w:val="00E627C5"/>
    <w:rsid w:val="00E6287D"/>
    <w:rsid w:val="00E62D51"/>
    <w:rsid w:val="00E648AA"/>
    <w:rsid w:val="00E65387"/>
    <w:rsid w:val="00E678A4"/>
    <w:rsid w:val="00E71253"/>
    <w:rsid w:val="00E741B4"/>
    <w:rsid w:val="00E7538B"/>
    <w:rsid w:val="00E76457"/>
    <w:rsid w:val="00E80E76"/>
    <w:rsid w:val="00E818E2"/>
    <w:rsid w:val="00E858EF"/>
    <w:rsid w:val="00E91A40"/>
    <w:rsid w:val="00E9293C"/>
    <w:rsid w:val="00EA0783"/>
    <w:rsid w:val="00EA1886"/>
    <w:rsid w:val="00EA2BA5"/>
    <w:rsid w:val="00EA39E1"/>
    <w:rsid w:val="00EA5BE8"/>
    <w:rsid w:val="00EB0FBB"/>
    <w:rsid w:val="00EB1995"/>
    <w:rsid w:val="00EB26E4"/>
    <w:rsid w:val="00EB5683"/>
    <w:rsid w:val="00EB6940"/>
    <w:rsid w:val="00EB6B5C"/>
    <w:rsid w:val="00EC0798"/>
    <w:rsid w:val="00EC1520"/>
    <w:rsid w:val="00EC26A8"/>
    <w:rsid w:val="00ED23A0"/>
    <w:rsid w:val="00ED2B3D"/>
    <w:rsid w:val="00ED2F51"/>
    <w:rsid w:val="00ED5994"/>
    <w:rsid w:val="00ED59E6"/>
    <w:rsid w:val="00EE024B"/>
    <w:rsid w:val="00EE412A"/>
    <w:rsid w:val="00EE7E62"/>
    <w:rsid w:val="00EF10DF"/>
    <w:rsid w:val="00EF1528"/>
    <w:rsid w:val="00EF7A9D"/>
    <w:rsid w:val="00F00BCF"/>
    <w:rsid w:val="00F056DF"/>
    <w:rsid w:val="00F05C3D"/>
    <w:rsid w:val="00F076F2"/>
    <w:rsid w:val="00F07DC1"/>
    <w:rsid w:val="00F12615"/>
    <w:rsid w:val="00F14FF7"/>
    <w:rsid w:val="00F165AD"/>
    <w:rsid w:val="00F17B92"/>
    <w:rsid w:val="00F26DDB"/>
    <w:rsid w:val="00F27AC8"/>
    <w:rsid w:val="00F3582A"/>
    <w:rsid w:val="00F43B46"/>
    <w:rsid w:val="00F45E9D"/>
    <w:rsid w:val="00F47112"/>
    <w:rsid w:val="00F50642"/>
    <w:rsid w:val="00F51F4E"/>
    <w:rsid w:val="00F52391"/>
    <w:rsid w:val="00F54992"/>
    <w:rsid w:val="00F5549C"/>
    <w:rsid w:val="00F55EF0"/>
    <w:rsid w:val="00F574E8"/>
    <w:rsid w:val="00F603E8"/>
    <w:rsid w:val="00F61CA5"/>
    <w:rsid w:val="00F63416"/>
    <w:rsid w:val="00F6640C"/>
    <w:rsid w:val="00F66852"/>
    <w:rsid w:val="00F67F3D"/>
    <w:rsid w:val="00F75296"/>
    <w:rsid w:val="00F761A9"/>
    <w:rsid w:val="00F77BCB"/>
    <w:rsid w:val="00F8210E"/>
    <w:rsid w:val="00F84274"/>
    <w:rsid w:val="00F872D5"/>
    <w:rsid w:val="00F87336"/>
    <w:rsid w:val="00F901F7"/>
    <w:rsid w:val="00F95F2F"/>
    <w:rsid w:val="00FA6D88"/>
    <w:rsid w:val="00FA7639"/>
    <w:rsid w:val="00FB7E88"/>
    <w:rsid w:val="00FC267E"/>
    <w:rsid w:val="00FC7117"/>
    <w:rsid w:val="00FC79E6"/>
    <w:rsid w:val="00FD051D"/>
    <w:rsid w:val="00FD2A15"/>
    <w:rsid w:val="00FD4016"/>
    <w:rsid w:val="00FD5201"/>
    <w:rsid w:val="00FD5D67"/>
    <w:rsid w:val="00FD6359"/>
    <w:rsid w:val="00FD67B7"/>
    <w:rsid w:val="00FD72E3"/>
    <w:rsid w:val="00FD7D8C"/>
    <w:rsid w:val="00FF07B6"/>
    <w:rsid w:val="00FF0D90"/>
    <w:rsid w:val="00FF3E42"/>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DBB170"/>
  <w15:docId w15:val="{99274DF2-EC45-4D42-A9FD-7303E4BA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customStyle="1" w:styleId="UnresolvedMention1">
    <w:name w:val="Unresolved Mention1"/>
    <w:basedOn w:val="DefaultParagraphFont"/>
    <w:uiPriority w:val="99"/>
    <w:semiHidden/>
    <w:unhideWhenUsed/>
    <w:rsid w:val="00850393"/>
    <w:rPr>
      <w:color w:val="808080"/>
      <w:shd w:val="clear" w:color="auto" w:fill="E6E6E6"/>
    </w:rPr>
  </w:style>
  <w:style w:type="character" w:customStyle="1" w:styleId="UnresolvedMention">
    <w:name w:val="Unresolved Mention"/>
    <w:basedOn w:val="DefaultParagraphFont"/>
    <w:uiPriority w:val="99"/>
    <w:semiHidden/>
    <w:unhideWhenUsed/>
    <w:rsid w:val="006A4A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34603096">
      <w:bodyDiv w:val="1"/>
      <w:marLeft w:val="0"/>
      <w:marRight w:val="0"/>
      <w:marTop w:val="0"/>
      <w:marBottom w:val="0"/>
      <w:divBdr>
        <w:top w:val="none" w:sz="0" w:space="0" w:color="auto"/>
        <w:left w:val="none" w:sz="0" w:space="0" w:color="auto"/>
        <w:bottom w:val="none" w:sz="0" w:space="0" w:color="auto"/>
        <w:right w:val="none" w:sz="0" w:space="0" w:color="auto"/>
      </w:divBdr>
      <w:divsChild>
        <w:div w:id="315964242">
          <w:marLeft w:val="0"/>
          <w:marRight w:val="0"/>
          <w:marTop w:val="0"/>
          <w:marBottom w:val="0"/>
          <w:divBdr>
            <w:top w:val="none" w:sz="0" w:space="0" w:color="auto"/>
            <w:left w:val="none" w:sz="0" w:space="0" w:color="auto"/>
            <w:bottom w:val="none" w:sz="0" w:space="0" w:color="auto"/>
            <w:right w:val="none" w:sz="0" w:space="0" w:color="auto"/>
          </w:divBdr>
          <w:divsChild>
            <w:div w:id="302737416">
              <w:marLeft w:val="0"/>
              <w:marRight w:val="0"/>
              <w:marTop w:val="0"/>
              <w:marBottom w:val="75"/>
              <w:divBdr>
                <w:top w:val="none" w:sz="0" w:space="0" w:color="auto"/>
                <w:left w:val="none" w:sz="0" w:space="0" w:color="auto"/>
                <w:bottom w:val="none" w:sz="0" w:space="0" w:color="auto"/>
                <w:right w:val="none" w:sz="0" w:space="0" w:color="auto"/>
              </w:divBdr>
              <w:divsChild>
                <w:div w:id="1734232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cq.org.uk/exams-office/non-examination-assessments" TargetMode="External"/><Relationship Id="rId4" Type="http://schemas.openxmlformats.org/officeDocument/2006/relationships/settings" Target="settings.xml"/><Relationship Id="rId9" Type="http://schemas.openxmlformats.org/officeDocument/2006/relationships/hyperlink" Target="https://www.jcq.org.uk/exams-office/information-for-candidates-documents" TargetMode="Externa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E55D7-24DD-4D8C-B6F3-6B6D1934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5091</Words>
  <Characters>29024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Mandy Ramsey</cp:lastModifiedBy>
  <cp:revision>2</cp:revision>
  <cp:lastPrinted>2018-09-11T13:58:00Z</cp:lastPrinted>
  <dcterms:created xsi:type="dcterms:W3CDTF">2018-09-11T14:01:00Z</dcterms:created>
  <dcterms:modified xsi:type="dcterms:W3CDTF">2018-09-11T14:01:00Z</dcterms:modified>
</cp:coreProperties>
</file>